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06F" w:rsidRDefault="0094706F" w:rsidP="0094706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p>
    <w:p w:rsidR="0094706F" w:rsidRDefault="0094706F" w:rsidP="0094706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p>
    <w:p w:rsidR="0094706F" w:rsidRDefault="0094706F" w:rsidP="0094706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p>
    <w:p w:rsidR="0094706F" w:rsidRDefault="0094706F" w:rsidP="0094706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p>
    <w:p w:rsidR="0094706F" w:rsidRDefault="0094706F" w:rsidP="0094706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p>
    <w:p w:rsidR="0094706F" w:rsidRDefault="00F165C9" w:rsidP="0094706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rPr>
          <w:rFonts w:asciiTheme="minorHAnsi" w:hAnsiTheme="minorHAnsi"/>
          <w:b/>
          <w:sz w:val="28"/>
          <w:szCs w:val="28"/>
        </w:rPr>
      </w:pPr>
      <w:r w:rsidRPr="00F165C9">
        <w:rPr>
          <w:rFonts w:asciiTheme="minorHAnsi" w:hAnsiTheme="minorHAnsi" w:hint="eastAsia"/>
          <w:b/>
          <w:sz w:val="28"/>
          <w:szCs w:val="28"/>
        </w:rPr>
        <w:t>来自联合国决议汉译英</w:t>
      </w:r>
      <w:r w:rsidRPr="00F165C9">
        <w:rPr>
          <w:rFonts w:asciiTheme="minorHAnsi" w:hAnsiTheme="minorHAnsi" w:hint="eastAsia"/>
          <w:b/>
          <w:sz w:val="28"/>
          <w:szCs w:val="28"/>
        </w:rPr>
        <w:t>/ HLPF/</w:t>
      </w:r>
      <w:r w:rsidRPr="00F165C9">
        <w:rPr>
          <w:rFonts w:asciiTheme="minorHAnsi" w:hAnsiTheme="minorHAnsi" w:hint="eastAsia"/>
          <w:b/>
          <w:sz w:val="28"/>
          <w:szCs w:val="28"/>
        </w:rPr>
        <w:t>二分之二千〇一十五</w:t>
      </w:r>
    </w:p>
    <w:p w:rsidR="00F165C9" w:rsidRPr="00F165C9" w:rsidRDefault="00F165C9" w:rsidP="00F165C9">
      <w:pPr>
        <w:rPr>
          <w:lang w:eastAsia="zh-CN"/>
        </w:rPr>
      </w:pPr>
      <w:bookmarkStart w:id="0" w:name="_GoBack"/>
      <w:bookmarkEnd w:id="0"/>
    </w:p>
    <w:p w:rsidR="0094706F" w:rsidRDefault="0094706F" w:rsidP="0094706F">
      <w:pPr>
        <w:pStyle w:val="H1"/>
        <w:tabs>
          <w:tab w:val="right" w:pos="1020"/>
          <w:tab w:val="left" w:pos="1264"/>
          <w:tab w:val="left" w:pos="1695"/>
          <w:tab w:val="left" w:pos="2126"/>
          <w:tab w:val="left" w:pos="2557"/>
          <w:tab w:val="left" w:pos="2988"/>
          <w:tab w:val="left" w:pos="3419"/>
          <w:tab w:val="left" w:pos="3849"/>
          <w:tab w:val="left" w:pos="4280"/>
          <w:tab w:val="left" w:pos="4711"/>
          <w:tab w:val="left" w:pos="5142"/>
          <w:tab w:val="left" w:pos="5573"/>
          <w:tab w:val="left" w:pos="6004"/>
        </w:tabs>
        <w:ind w:left="1267" w:right="1260" w:hanging="1267"/>
      </w:pPr>
      <w:r>
        <w:rPr>
          <w:rFonts w:hint="eastAsia"/>
        </w:rPr>
        <w:t>透明度、问责制和参与网络</w:t>
      </w:r>
    </w:p>
    <w:p w:rsidR="0094706F" w:rsidRPr="00F6375A" w:rsidRDefault="0094706F" w:rsidP="0094706F">
      <w:pPr>
        <w:pStyle w:val="SingleTxt"/>
        <w:spacing w:after="0" w:line="120" w:lineRule="exact"/>
        <w:ind w:right="0"/>
        <w:rPr>
          <w:sz w:val="10"/>
        </w:rPr>
      </w:pPr>
    </w:p>
    <w:p w:rsidR="0094706F" w:rsidRP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rPr>
          <w:rFonts w:ascii="SimHei" w:eastAsia="SimHei" w:hAnsi="SimHei"/>
          <w:b/>
        </w:rPr>
      </w:pPr>
      <w:r w:rsidRPr="0094706F">
        <w:rPr>
          <w:rFonts w:ascii="SimHei" w:eastAsia="SimHei" w:hAnsi="SimHei" w:hint="eastAsia"/>
          <w:b/>
        </w:rPr>
        <w:t>导言</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pPr>
      <w:r>
        <w:rPr>
          <w:rFonts w:hint="eastAsia"/>
        </w:rPr>
        <w:t>为使可持续发展目标能实现真正变革性远大目标，从地方到全球各级的监测和问责制框架必须以人为本、具有包容性、透明并有多方参与。</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pPr>
      <w:r w:rsidRPr="00D87C32">
        <w:rPr>
          <w:rFonts w:hint="eastAsia"/>
          <w:spacing w:val="4"/>
        </w:rPr>
        <w:t>问责制框架具有潜力，能够克服千年发展目标在贯彻和问责方面存在的弱点</w:t>
      </w:r>
      <w:r>
        <w:rPr>
          <w:rFonts w:hint="eastAsia"/>
        </w:rPr>
        <w:t>，并加强</w:t>
      </w:r>
      <w:r>
        <w:rPr>
          <w:rFonts w:hint="eastAsia"/>
        </w:rPr>
        <w:t>2015</w:t>
      </w:r>
      <w:r>
        <w:rPr>
          <w:rFonts w:hint="eastAsia"/>
        </w:rPr>
        <w:t>年后议程的公信力、自主性和有效性。联合国在全球和国家各级开展的广泛协商进程为可持续发展目标的酝酿和论述提供了参考，并为包容、透明和多方参与的可持续发展目标问责制框架奠定了坚实基础。</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pPr>
      <w:r>
        <w:rPr>
          <w:rFonts w:hint="eastAsia"/>
        </w:rPr>
        <w:t>从千年发展目标框架中获得的经验教训突出表明，需要有一个足够强健的问责制框架来确保国家和其他责任承担方接受问责。虽然各国的经验不尽相同，但没有系统地利用国家监测和审查程序支持或积极设法让生活贫穷者包括儿童和社会边际群体提供投入、发表意见或发挥影响。秘书长指出，缺乏问责是实现千年发展目标进展不足的原因之一。</w:t>
      </w:r>
      <w:r w:rsidRPr="00F6375A">
        <w:rPr>
          <w:rStyle w:val="FootnoteReference"/>
        </w:rPr>
        <w:footnoteReference w:id="1"/>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pPr>
      <w:r>
        <w:rPr>
          <w:rFonts w:hint="eastAsia"/>
        </w:rPr>
        <w:t>这一简短说明着重表明为何透明度、问责制和参与原则对有效的</w:t>
      </w:r>
      <w:r>
        <w:rPr>
          <w:rFonts w:hint="eastAsia"/>
        </w:rPr>
        <w:t>2015</w:t>
      </w:r>
      <w:r>
        <w:rPr>
          <w:rFonts w:hint="eastAsia"/>
        </w:rPr>
        <w:t>年后监测和后续行动至关重要，并就这些原则如何能够被纳入地方、国家、区域和国际各级重要问责系统提出建议。</w:t>
      </w:r>
    </w:p>
    <w:p w:rsidR="0094706F" w:rsidRP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rPr>
          <w:rFonts w:ascii="SimHei" w:eastAsia="SimHei" w:hAnsi="SimHei"/>
          <w:b/>
        </w:rPr>
      </w:pPr>
      <w:r w:rsidRPr="0094706F">
        <w:rPr>
          <w:rFonts w:ascii="SimHei" w:eastAsia="SimHei" w:hAnsi="SimHei" w:hint="eastAsia"/>
          <w:b/>
        </w:rPr>
        <w:t>问责制</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pPr>
      <w:r>
        <w:rPr>
          <w:rFonts w:hint="eastAsia"/>
        </w:rPr>
        <w:t>问责制与“监督”、“后续行动”或“审查”不同，尽管这些都是实现问责制的重要环节。问责制以及透明度和公民参与是不可或缺的先决条件，具有预防和纠正作用并由三个层面组成：即责任、可交代性和可执行性。</w:t>
      </w:r>
      <w:r w:rsidRPr="00F6375A">
        <w:rPr>
          <w:rStyle w:val="FootnoteReference"/>
        </w:rPr>
        <w:footnoteReference w:id="2"/>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pPr>
      <w:r>
        <w:tab/>
      </w:r>
      <w:r>
        <w:rPr>
          <w:rFonts w:hint="eastAsia"/>
        </w:rPr>
        <w:t>(a)</w:t>
      </w:r>
      <w:r>
        <w:rPr>
          <w:rFonts w:hint="eastAsia"/>
        </w:rPr>
        <w:tab/>
      </w:r>
      <w:r>
        <w:rPr>
          <w:rFonts w:hint="eastAsia"/>
        </w:rPr>
        <w:t>责任：最终的</w:t>
      </w:r>
      <w:r>
        <w:rPr>
          <w:rFonts w:hint="eastAsia"/>
        </w:rPr>
        <w:t>2015</w:t>
      </w:r>
      <w:r>
        <w:rPr>
          <w:rFonts w:hint="eastAsia"/>
        </w:rPr>
        <w:t>年后议程必须明确界定由谁承担责任及对什么负责的问题，以便可以对责任承担者的行动和总体进展情况进行透明的评估。切实体现目标愿景</w:t>
      </w:r>
      <w:r>
        <w:rPr>
          <w:rFonts w:hint="eastAsia"/>
        </w:rPr>
        <w:t>(</w:t>
      </w:r>
      <w:r>
        <w:rPr>
          <w:rFonts w:hint="eastAsia"/>
        </w:rPr>
        <w:t>且通过与国家统计组织、民间社会和其他专家的广泛包容性协商制订</w:t>
      </w:r>
      <w:r>
        <w:rPr>
          <w:rFonts w:hint="eastAsia"/>
        </w:rPr>
        <w:t>)</w:t>
      </w:r>
      <w:r>
        <w:rPr>
          <w:rFonts w:hint="eastAsia"/>
        </w:rPr>
        <w:t>的全球和国家指标</w:t>
      </w:r>
      <w:r w:rsidRPr="00F6375A">
        <w:rPr>
          <w:rStyle w:val="FootnoteReference"/>
        </w:rPr>
        <w:footnoteReference w:id="3"/>
      </w:r>
      <w:r>
        <w:rPr>
          <w:rFonts w:hint="eastAsia"/>
        </w:rPr>
        <w:t xml:space="preserve"> </w:t>
      </w:r>
      <w:r>
        <w:rPr>
          <w:rFonts w:hint="eastAsia"/>
        </w:rPr>
        <w:t>是这方面一个重要内容。</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pPr>
      <w:r>
        <w:lastRenderedPageBreak/>
        <w:tab/>
      </w:r>
      <w:r>
        <w:rPr>
          <w:rFonts w:hint="eastAsia"/>
        </w:rPr>
        <w:t>(b)</w:t>
      </w:r>
      <w:r>
        <w:rPr>
          <w:rFonts w:hint="eastAsia"/>
        </w:rPr>
        <w:tab/>
      </w:r>
      <w:r>
        <w:rPr>
          <w:rFonts w:hint="eastAsia"/>
        </w:rPr>
        <w:t>可交代性：</w:t>
      </w:r>
      <w:r>
        <w:rPr>
          <w:rFonts w:hint="eastAsia"/>
        </w:rPr>
        <w:t>2015</w:t>
      </w:r>
      <w:r>
        <w:rPr>
          <w:rFonts w:hint="eastAsia"/>
        </w:rPr>
        <w:t>年后议程必须提供所有参与的行为体和利益攸关方可以相互审查、对话和讨论的多种渠道和论坛，由负责执行议程的人员提供资料说明其进展、挫折和选择。为了使那些负责执行议程的人员能够对议程“受益者”作出交代，政府各部门之间应该建立开展公共对话和互动协作的正式机会和机制，还必须以透明、可比、无障碍和易于理解的方式主动提供信息。每个公民、社区和组织自身也必须有能力自由收集数据和信息，行使其言论自由、和平集会和结社的权利。</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pPr>
      <w:r>
        <w:rPr>
          <w:rFonts w:hint="eastAsia"/>
        </w:rPr>
        <w:t>(c)</w:t>
      </w:r>
      <w:r>
        <w:rPr>
          <w:rFonts w:hint="eastAsia"/>
        </w:rPr>
        <w:tab/>
      </w:r>
      <w:r>
        <w:rPr>
          <w:rFonts w:hint="eastAsia"/>
        </w:rPr>
        <w:t>可执行性：虽然可持续发展目标不具有法律约束力，但仍需要设有保障和奖励措施，确保说到做到。最终的</w:t>
      </w:r>
      <w:r>
        <w:rPr>
          <w:rFonts w:hint="eastAsia"/>
        </w:rPr>
        <w:t>2015</w:t>
      </w:r>
      <w:r>
        <w:rPr>
          <w:rFonts w:hint="eastAsia"/>
        </w:rPr>
        <w:t>年后框架的“后续行动和审查”部分必须规定真正的奖励办法，促使各国信守诺言，监测成就，确定具体进程和机制，从而能够审查进展和挑战，并确定出现问题后需要采取哪些纠正行动。</w:t>
      </w:r>
    </w:p>
    <w:p w:rsidR="0094706F" w:rsidRP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rPr>
          <w:rFonts w:ascii="SimHei" w:eastAsia="SimHei" w:hAnsi="SimHei"/>
          <w:b/>
        </w:rPr>
      </w:pPr>
      <w:r w:rsidRPr="0094706F">
        <w:rPr>
          <w:rFonts w:ascii="SimHei" w:eastAsia="SimHei" w:hAnsi="SimHei" w:hint="eastAsia"/>
          <w:b/>
        </w:rPr>
        <w:t>问责程度</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ind w:left="0" w:right="1260"/>
      </w:pPr>
      <w:r>
        <w:rPr>
          <w:rFonts w:hint="eastAsia"/>
        </w:rPr>
        <w:t>国家和人民之间的关系是主要责任关系。因此，</w:t>
      </w:r>
      <w:r>
        <w:rPr>
          <w:rFonts w:hint="eastAsia"/>
        </w:rPr>
        <w:t>2015</w:t>
      </w:r>
      <w:r>
        <w:rPr>
          <w:rFonts w:hint="eastAsia"/>
        </w:rPr>
        <w:t>年后问责制架构应植根于包容性国家问责程序，以健全和参与性数据</w:t>
      </w:r>
      <w:r w:rsidRPr="004C749E">
        <w:t>——</w:t>
      </w:r>
      <w:r>
        <w:rPr>
          <w:rFonts w:hint="eastAsia"/>
        </w:rPr>
        <w:t>包括公民产生的数据</w:t>
      </w:r>
      <w:r w:rsidRPr="004C749E">
        <w:t>——</w:t>
      </w:r>
      <w:r>
        <w:rPr>
          <w:rFonts w:hint="eastAsia"/>
        </w:rPr>
        <w:t>的收集和监测为前提。区域和全球各级也要为加强问责制提供重大机会。</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除了各国的努力外，为国际审查和问责程序作出扎实安排也有助于开展以下工作：</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(a)</w:t>
      </w:r>
      <w:r>
        <w:rPr>
          <w:rFonts w:hint="eastAsia"/>
        </w:rPr>
        <w:tab/>
      </w:r>
      <w:r>
        <w:t xml:space="preserve"> </w:t>
      </w:r>
      <w:r>
        <w:rPr>
          <w:rFonts w:hint="eastAsia"/>
        </w:rPr>
        <w:t>更广泛地审视进展和趋势，解决一些更加系统的跨境障碍和挫折；</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(b)</w:t>
      </w:r>
      <w:r>
        <w:rPr>
          <w:rFonts w:hint="eastAsia"/>
        </w:rPr>
        <w:tab/>
      </w:r>
      <w:r>
        <w:t xml:space="preserve"> </w:t>
      </w:r>
      <w:r>
        <w:rPr>
          <w:rFonts w:hint="eastAsia"/>
        </w:rPr>
        <w:t>国家之间交流经验；</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(c)</w:t>
      </w:r>
      <w:r>
        <w:t xml:space="preserve"> </w:t>
      </w:r>
      <w:r>
        <w:rPr>
          <w:rFonts w:hint="eastAsia"/>
        </w:rPr>
        <w:tab/>
      </w:r>
      <w:r>
        <w:rPr>
          <w:rFonts w:hint="eastAsia"/>
        </w:rPr>
        <w:t>再提供一个人民和国家的问责制层面，这特别是为了加强因种姓、种族、宗教少数人和其他形式歧视等原因而被忽视和受歧视群体的包容性参与，促进国家间相互问责，在履行各自承诺方面承担有区别的责任。</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全球进程应明确借鉴地方和国家各级反馈、成果和信息，包括民间社会和社区的报告和数据。</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然而，国家并非唯一的</w:t>
      </w:r>
      <w:r>
        <w:rPr>
          <w:rFonts w:hint="eastAsia"/>
        </w:rPr>
        <w:t>2015</w:t>
      </w:r>
      <w:r>
        <w:rPr>
          <w:rFonts w:hint="eastAsia"/>
        </w:rPr>
        <w:t>年后责任承担者。商定的审查和问责程序的范围和任务还必须包含监测其他行动体的影响和行动，包括私营部门、公私伙伴关系、国际金融机构、联合国机构和民间社会的影响和行动。例如，</w:t>
      </w:r>
      <w:r>
        <w:rPr>
          <w:rFonts w:hint="eastAsia"/>
        </w:rPr>
        <w:t>2015</w:t>
      </w:r>
      <w:r>
        <w:rPr>
          <w:rFonts w:hint="eastAsia"/>
        </w:rPr>
        <w:t>年后议程的贯彻和审查架构应审查私营部门对可持续发展目标的贡献，并审查《联合国工商业与人权指导原则》的执行情况。这种监测和审查将补充对</w:t>
      </w:r>
      <w:r>
        <w:rPr>
          <w:rFonts w:hint="eastAsia"/>
        </w:rPr>
        <w:t>2015</w:t>
      </w:r>
      <w:r>
        <w:rPr>
          <w:rFonts w:hint="eastAsia"/>
        </w:rPr>
        <w:t>年后议程所列私营部门责任方面各项具体措施的监测。</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如大会建立高级别政治论坛的第</w:t>
      </w:r>
      <w:r>
        <w:rPr>
          <w:rFonts w:hint="eastAsia"/>
        </w:rPr>
        <w:t>67/290</w:t>
      </w:r>
      <w:r>
        <w:rPr>
          <w:rFonts w:hint="eastAsia"/>
        </w:rPr>
        <w:t>号决议所述，审查架构不仅应监测和跟踪实现可持续发展成果方面的进展，还应监测执行手段。如果我们要确保制定一份真正具有变革性的</w:t>
      </w:r>
      <w:r>
        <w:rPr>
          <w:rFonts w:hint="eastAsia"/>
        </w:rPr>
        <w:t>2015</w:t>
      </w:r>
      <w:r>
        <w:rPr>
          <w:rFonts w:hint="eastAsia"/>
        </w:rPr>
        <w:t>年后议程，就必须从千年发展目标汲取经验教训</w:t>
      </w:r>
      <w:r w:rsidRPr="007239B4">
        <w:t>——</w:t>
      </w:r>
      <w:r>
        <w:rPr>
          <w:rFonts w:hint="eastAsia"/>
        </w:rPr>
        <w:t>千年发展目标</w:t>
      </w:r>
      <w:r>
        <w:rPr>
          <w:rFonts w:hint="eastAsia"/>
        </w:rPr>
        <w:t>8</w:t>
      </w:r>
      <w:r>
        <w:rPr>
          <w:rFonts w:hint="eastAsia"/>
        </w:rPr>
        <w:t>下仅包含有限的承诺。这包括落实第三次发展筹资问题国际会议成果文件中作出的承诺，以及每个可持续发展目标和目标</w:t>
      </w:r>
      <w:r>
        <w:rPr>
          <w:rFonts w:hint="eastAsia"/>
        </w:rPr>
        <w:t>17</w:t>
      </w:r>
      <w:r>
        <w:rPr>
          <w:rFonts w:hint="eastAsia"/>
        </w:rPr>
        <w:t>下列述的执行手段。</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这需要着眼于统筹兼顾发达国家和发展中国家为该议程筹措资金的不同责任和能力，还要普遍承诺为可持续发展营造有利环境。因此，全球一级的</w:t>
      </w:r>
      <w:r>
        <w:rPr>
          <w:rFonts w:hint="eastAsia"/>
        </w:rPr>
        <w:t>2015</w:t>
      </w:r>
      <w:r>
        <w:rPr>
          <w:rFonts w:hint="eastAsia"/>
        </w:rPr>
        <w:t>年后审查必须能够评估目标</w:t>
      </w:r>
      <w:r>
        <w:rPr>
          <w:rFonts w:hint="eastAsia"/>
        </w:rPr>
        <w:t>17</w:t>
      </w:r>
      <w:r>
        <w:rPr>
          <w:rFonts w:hint="eastAsia"/>
        </w:rPr>
        <w:t>的进展、差距和障碍、实现具体目标的其他手段、全球伙伴关系总体状况、每个</w:t>
      </w:r>
      <w:r>
        <w:rPr>
          <w:rFonts w:hint="eastAsia"/>
        </w:rPr>
        <w:lastRenderedPageBreak/>
        <w:t>国家和多国组织的贡献以及“政策连贯性”和各国对本国边界外可持续发展的影响</w:t>
      </w:r>
      <w:r>
        <w:rPr>
          <w:rFonts w:hint="eastAsia"/>
        </w:rPr>
        <w:t>(</w:t>
      </w:r>
      <w:r>
        <w:rPr>
          <w:rFonts w:hint="eastAsia"/>
        </w:rPr>
        <w:t>如税收、官方发展援助、贸易和环境政策</w:t>
      </w:r>
      <w:r>
        <w:rPr>
          <w:rFonts w:hint="eastAsia"/>
        </w:rPr>
        <w:t>)</w:t>
      </w:r>
      <w:r>
        <w:rPr>
          <w:rFonts w:hint="eastAsia"/>
        </w:rPr>
        <w:t>。</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高级别政治论坛被指定为</w:t>
      </w:r>
      <w:r>
        <w:rPr>
          <w:rFonts w:hint="eastAsia"/>
        </w:rPr>
        <w:t>2015</w:t>
      </w:r>
      <w:r>
        <w:rPr>
          <w:rFonts w:hint="eastAsia"/>
        </w:rPr>
        <w:t>年后续行动和审查平台，成为一个汇集</w:t>
      </w:r>
      <w:r>
        <w:rPr>
          <w:rFonts w:hint="eastAsia"/>
        </w:rPr>
        <w:t>2015</w:t>
      </w:r>
      <w:r>
        <w:rPr>
          <w:rFonts w:hint="eastAsia"/>
        </w:rPr>
        <w:t>年后问责制各项内容的大伞。该论坛应该审查国家和全球进展情况，对如何克服挑战和差距提出建议，鼓励采取行动，解决执行方面的差距，并推动分享经验，确保其各项行动的透明度和参与性。该论坛还必须根据大会第</w:t>
      </w:r>
      <w:r>
        <w:rPr>
          <w:rFonts w:hint="eastAsia"/>
        </w:rPr>
        <w:t>67/290</w:t>
      </w:r>
      <w:r>
        <w:rPr>
          <w:rFonts w:hint="eastAsia"/>
        </w:rPr>
        <w:t>号决议规定的任务，确保民间社会有专门的互动协作角色和空间。它还必须促使民间社会参与，帮助各国政府在全球和国家两级填补在执行、后续行动以及数据编制和监测方面的空白。如果高级别政治论坛的审查机制不以公民参与为基础，我们就会遇到非常现实的风险，有可能重复千年发展目标后续进程的缺点，坐失重要机会而没有加强各级对</w:t>
      </w:r>
      <w:r>
        <w:rPr>
          <w:rFonts w:hint="eastAsia"/>
        </w:rPr>
        <w:t>2015</w:t>
      </w:r>
      <w:r>
        <w:rPr>
          <w:rFonts w:hint="eastAsia"/>
        </w:rPr>
        <w:t>年后议程的自主掌控。</w:t>
      </w:r>
    </w:p>
    <w:p w:rsidR="0094706F" w:rsidRP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rPr>
          <w:rFonts w:ascii="SimHei" w:eastAsia="SimHei" w:hAnsi="SimHei"/>
          <w:b/>
        </w:rPr>
      </w:pPr>
      <w:r w:rsidRPr="0094706F">
        <w:rPr>
          <w:rFonts w:ascii="SimHei" w:eastAsia="SimHei" w:hAnsi="SimHei" w:hint="eastAsia"/>
          <w:b/>
        </w:rPr>
        <w:t>建议</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必须建立问责机制和进程，以此监测</w:t>
      </w:r>
      <w:r>
        <w:rPr>
          <w:rFonts w:hint="eastAsia"/>
        </w:rPr>
        <w:t>2015</w:t>
      </w:r>
      <w:r>
        <w:rPr>
          <w:rFonts w:hint="eastAsia"/>
        </w:rPr>
        <w:t>年后框架所有方面和其他相关发展承诺，包括可持续发展目标本身及其执行手段以及第三次发展筹资问题国际会议的预期成果。所有进程都必须具有透明度、包容性和参与性；设法听取并顾及最边缘化、最受歧视和最弱势妇女、男子和儿童的声音和观点。必须消除阻碍受排斥的群体和个人在各级进行参与的各种障碍。</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高级别政治论坛必须推动建立全球一级健全和易于参与的监测和审查程序，允许广大利益攸关方和其他审查进程提供投入，对进展和挑战提供更广泛的视野。高级别政治论坛的审查应依循联合国人权理事会普遍定期审查进程的模式，以三类投入为依据：</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tab/>
      </w:r>
      <w:r>
        <w:rPr>
          <w:rFonts w:hint="eastAsia"/>
        </w:rPr>
        <w:t>(a)</w:t>
      </w:r>
      <w:r>
        <w:rPr>
          <w:rFonts w:hint="eastAsia"/>
        </w:rPr>
        <w:tab/>
      </w:r>
      <w:r>
        <w:rPr>
          <w:rFonts w:hint="eastAsia"/>
        </w:rPr>
        <w:t>各国提交的国家报告；</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tab/>
      </w:r>
      <w:r>
        <w:rPr>
          <w:rFonts w:hint="eastAsia"/>
        </w:rPr>
        <w:t>(b)</w:t>
      </w:r>
      <w:r>
        <w:rPr>
          <w:rFonts w:hint="eastAsia"/>
        </w:rPr>
        <w:tab/>
      </w:r>
      <w:r>
        <w:rPr>
          <w:rFonts w:hint="eastAsia"/>
        </w:rPr>
        <w:t>联合国实体提供的资料；</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tab/>
      </w:r>
      <w:r>
        <w:rPr>
          <w:rFonts w:hint="eastAsia"/>
        </w:rPr>
        <w:t>(c)</w:t>
      </w:r>
      <w:r>
        <w:rPr>
          <w:rFonts w:hint="eastAsia"/>
        </w:rPr>
        <w:tab/>
      </w:r>
      <w:r>
        <w:rPr>
          <w:rFonts w:hint="eastAsia"/>
        </w:rPr>
        <w:t>民间社会和其他非国家行为体提交的独立报告。</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这些后续和审查程序及机制应具有经常性、有明确职责和适足资源，并有一个专门和健全的秘书处和主席团，还应为切实监测和审查进展及挑战提供充分的时间、能力和经费。</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2015</w:t>
      </w:r>
      <w:r>
        <w:rPr>
          <w:rFonts w:hint="eastAsia"/>
        </w:rPr>
        <w:t>年后问责制框架应利用、借鉴和加强在监测发展、环境和人权方面发挥实际作用的现有机制和体制。其范围可涵盖国家可持续性委员会、议会、独立国家人权机构，乃至民间社会联盟、联合国机构和机构间委员会、国际人权监测机构和其他</w:t>
      </w:r>
      <w:r>
        <w:rPr>
          <w:rFonts w:hint="eastAsia"/>
        </w:rPr>
        <w:t>(</w:t>
      </w:r>
      <w:r>
        <w:rPr>
          <w:rFonts w:hint="eastAsia"/>
        </w:rPr>
        <w:t>多利益攸关方</w:t>
      </w:r>
      <w:r>
        <w:rPr>
          <w:rFonts w:hint="eastAsia"/>
        </w:rPr>
        <w:t>)</w:t>
      </w:r>
      <w:r>
        <w:rPr>
          <w:rFonts w:hint="eastAsia"/>
        </w:rPr>
        <w:t>平台，如促进有效发展合作全球伙伴关系。</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sidRPr="009B185B">
        <w:rPr>
          <w:rFonts w:hint="eastAsia"/>
          <w:spacing w:val="-2"/>
        </w:rPr>
        <w:t>2015</w:t>
      </w:r>
      <w:r w:rsidRPr="009B185B">
        <w:rPr>
          <w:rFonts w:hint="eastAsia"/>
          <w:spacing w:val="-2"/>
        </w:rPr>
        <w:t>年后议程与亚的斯发展筹资成果之间的密切关系给加强对可持续发展尤其是对执行手段的监测和问责带来了重要的潜力。有鉴于此，为了避免重叠和“各自为政”，应确保协调统一</w:t>
      </w:r>
      <w:r w:rsidRPr="009B185B">
        <w:rPr>
          <w:rFonts w:hint="eastAsia"/>
          <w:spacing w:val="-2"/>
        </w:rPr>
        <w:t>2015</w:t>
      </w:r>
      <w:r w:rsidRPr="009B185B">
        <w:rPr>
          <w:rFonts w:hint="eastAsia"/>
          <w:spacing w:val="-2"/>
        </w:rPr>
        <w:t>年后和发展筹资之间的各个问责机制和程序</w:t>
      </w:r>
      <w:r>
        <w:rPr>
          <w:rFonts w:hint="eastAsia"/>
        </w:rPr>
        <w:t>。</w:t>
      </w:r>
    </w:p>
    <w:p w:rsidR="0094706F" w:rsidRP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rPr>
          <w:rFonts w:ascii="SimHei" w:eastAsia="SimHei" w:hAnsi="SimHei"/>
          <w:b/>
        </w:rPr>
      </w:pPr>
      <w:r w:rsidRPr="0094706F">
        <w:rPr>
          <w:rFonts w:ascii="SimHei" w:eastAsia="SimHei" w:hAnsi="SimHei" w:hint="eastAsia"/>
          <w:b/>
        </w:rPr>
        <w:t>参与</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制定可持续发展目标的进程得到个人、民间社会组织和其他可持续发展利益攸关方的空前参与。通过“我们希望的世界”平台等途径进行的协商，民间社会能够对</w:t>
      </w:r>
      <w:r>
        <w:rPr>
          <w:rFonts w:hint="eastAsia"/>
        </w:rPr>
        <w:t>2015</w:t>
      </w:r>
      <w:r>
        <w:rPr>
          <w:rFonts w:hint="eastAsia"/>
        </w:rPr>
        <w:t>后可持续发展议程提出自己的观点。“</w:t>
      </w:r>
      <w:r>
        <w:rPr>
          <w:rFonts w:hint="eastAsia"/>
        </w:rPr>
        <w:t>2015</w:t>
      </w:r>
      <w:r>
        <w:rPr>
          <w:rFonts w:hint="eastAsia"/>
        </w:rPr>
        <w:t>年后运动”、主要群体和“透明度、问责制和参与网络”等民间社会开展的协调一致举措也加强了对迄今拟定</w:t>
      </w:r>
      <w:r>
        <w:rPr>
          <w:rFonts w:hint="eastAsia"/>
        </w:rPr>
        <w:t>2015</w:t>
      </w:r>
      <w:r>
        <w:rPr>
          <w:rFonts w:hint="eastAsia"/>
        </w:rPr>
        <w:t>年后议程的参与。</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6" w:lineRule="exact"/>
        <w:ind w:left="0" w:right="1259"/>
      </w:pPr>
      <w:r>
        <w:rPr>
          <w:rFonts w:hint="eastAsia"/>
        </w:rPr>
        <w:lastRenderedPageBreak/>
        <w:t>应把公众参与作为</w:t>
      </w:r>
      <w:r>
        <w:rPr>
          <w:rFonts w:hint="eastAsia"/>
        </w:rPr>
        <w:t>2015</w:t>
      </w:r>
      <w:r>
        <w:rPr>
          <w:rFonts w:hint="eastAsia"/>
        </w:rPr>
        <w:t>年后审查和问责制进程的优先事项。为了确保制订变革型</w:t>
      </w:r>
      <w:r>
        <w:rPr>
          <w:rFonts w:hint="eastAsia"/>
        </w:rPr>
        <w:t>2015</w:t>
      </w:r>
      <w:r>
        <w:rPr>
          <w:rFonts w:hint="eastAsia"/>
        </w:rPr>
        <w:t>年后议程，这一进程必须具有包容性，并有各级人员包括最贫穷和最边缘化群体的经常和切实参与。该进程还必须有直接的沟通渠道，让人民能够在最高决策级别表达意见。正如除其他外指标</w:t>
      </w:r>
      <w:r>
        <w:rPr>
          <w:rFonts w:hint="eastAsia"/>
        </w:rPr>
        <w:t>5.5</w:t>
      </w:r>
      <w:r>
        <w:rPr>
          <w:rFonts w:hint="eastAsia"/>
        </w:rPr>
        <w:t>和</w:t>
      </w:r>
      <w:r>
        <w:rPr>
          <w:rFonts w:hint="eastAsia"/>
        </w:rPr>
        <w:t>16.7</w:t>
      </w:r>
      <w:r>
        <w:rPr>
          <w:rFonts w:hint="eastAsia"/>
        </w:rPr>
        <w:t>所述，参与本身就是发展的核心目的，可以确保所有妇女、男子和儿童具有保障自身权利的关键能力。</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60"/>
      </w:pPr>
      <w:r>
        <w:rPr>
          <w:rFonts w:hint="eastAsia"/>
        </w:rPr>
        <w:t>民间社会可以促进公众参与，帮助最边缘化群体表达意见。但如果没有法律和实践保障的言论、结社、和平集会和获取信息的权利，民间社会就不能发挥作用。可持续发展目标通盘表达的承诺，尤其是以透明、参与和问责治理和体制为核心的目标</w:t>
      </w:r>
      <w:r>
        <w:rPr>
          <w:rFonts w:hint="eastAsia"/>
        </w:rPr>
        <w:t>16</w:t>
      </w:r>
      <w:r>
        <w:rPr>
          <w:rFonts w:hint="eastAsia"/>
        </w:rPr>
        <w:t>，不仅对支持以可持续方式落实</w:t>
      </w:r>
      <w:r>
        <w:rPr>
          <w:rFonts w:hint="eastAsia"/>
        </w:rPr>
        <w:t>2015</w:t>
      </w:r>
      <w:r>
        <w:rPr>
          <w:rFonts w:hint="eastAsia"/>
        </w:rPr>
        <w:t>年后的目标和各项具体目标必不可少，而且也对问责制框架至关重要，该框架将为各年龄组、各性别和属于各社会群体公民的参与提供重要的机会。</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60"/>
      </w:pPr>
      <w:r w:rsidRPr="009B185B">
        <w:rPr>
          <w:rFonts w:hint="eastAsia"/>
          <w:spacing w:val="-2"/>
        </w:rPr>
        <w:t>除了全球公认的权利本身外，各年龄组人民</w:t>
      </w:r>
      <w:r w:rsidRPr="009B185B">
        <w:rPr>
          <w:rFonts w:hint="eastAsia"/>
          <w:spacing w:val="-2"/>
        </w:rPr>
        <w:t>(</w:t>
      </w:r>
      <w:r w:rsidRPr="009B185B">
        <w:rPr>
          <w:rFonts w:hint="eastAsia"/>
          <w:spacing w:val="-2"/>
        </w:rPr>
        <w:t>包括最边缘化和最弱势群体</w:t>
      </w:r>
      <w:r w:rsidRPr="009B185B">
        <w:rPr>
          <w:rFonts w:hint="eastAsia"/>
          <w:spacing w:val="-2"/>
        </w:rPr>
        <w:t>)</w:t>
      </w:r>
      <w:r w:rsidRPr="009B185B">
        <w:rPr>
          <w:rFonts w:hint="eastAsia"/>
          <w:spacing w:val="-2"/>
        </w:rPr>
        <w:t>参与</w:t>
      </w:r>
      <w:r w:rsidRPr="009B185B">
        <w:rPr>
          <w:rFonts w:hint="eastAsia"/>
          <w:spacing w:val="-2"/>
        </w:rPr>
        <w:t>2015</w:t>
      </w:r>
      <w:r w:rsidRPr="009B185B">
        <w:rPr>
          <w:rFonts w:hint="eastAsia"/>
          <w:spacing w:val="-2"/>
        </w:rPr>
        <w:t>年后问责制可帮助各国制定相关措施，更有效地分配资源。这种参与有可能加强公民互动协作，提高人民对发展和民主进程的理解，加强国家与其人民之间的关系和信任。此外，还有可能加强民间社会和公众对可持续发展目标的自主权</w:t>
      </w:r>
      <w:r>
        <w:rPr>
          <w:rFonts w:hint="eastAsia"/>
        </w:rPr>
        <w:t>。</w:t>
      </w:r>
    </w:p>
    <w:p w:rsidR="0094706F" w:rsidRP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60"/>
        <w:rPr>
          <w:rFonts w:ascii="SimHei" w:eastAsia="SimHei" w:hAnsi="SimHei"/>
          <w:b/>
        </w:rPr>
      </w:pPr>
      <w:r w:rsidRPr="0094706F">
        <w:rPr>
          <w:rFonts w:ascii="SimHei" w:eastAsia="SimHei" w:hAnsi="SimHei" w:hint="eastAsia"/>
          <w:b/>
        </w:rPr>
        <w:t>建议</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60"/>
      </w:pPr>
      <w:r>
        <w:rPr>
          <w:rFonts w:hint="eastAsia"/>
        </w:rPr>
        <w:t>联合国其他审查框架，包括普遍定期审议</w:t>
      </w:r>
      <w:r w:rsidRPr="00F6375A">
        <w:rPr>
          <w:rStyle w:val="FootnoteReference"/>
        </w:rPr>
        <w:footnoteReference w:id="4"/>
      </w:r>
      <w:r>
        <w:rPr>
          <w:rFonts w:hint="eastAsia"/>
        </w:rPr>
        <w:t xml:space="preserve"> </w:t>
      </w:r>
      <w:r>
        <w:rPr>
          <w:rFonts w:hint="eastAsia"/>
        </w:rPr>
        <w:t>可提供一些指导，说明如何确保</w:t>
      </w:r>
      <w:r>
        <w:rPr>
          <w:rFonts w:hint="eastAsia"/>
        </w:rPr>
        <w:t>2015</w:t>
      </w:r>
      <w:r>
        <w:rPr>
          <w:rFonts w:hint="eastAsia"/>
        </w:rPr>
        <w:t>年后议程问责机制考虑到每个公民、社区、有组织的民间社会和其他非国家行为体的意见和建议。对审查</w:t>
      </w:r>
      <w:r>
        <w:rPr>
          <w:rFonts w:hint="eastAsia"/>
        </w:rPr>
        <w:t>2015</w:t>
      </w:r>
      <w:r>
        <w:rPr>
          <w:rFonts w:hint="eastAsia"/>
        </w:rPr>
        <w:t>年后发展议程的参与应借鉴国家、区域和国际各级审查框架，纳入以下特点：</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60"/>
      </w:pPr>
      <w:r>
        <w:rPr>
          <w:rFonts w:hint="eastAsia"/>
        </w:rPr>
        <w:t>(a)</w:t>
      </w:r>
      <w:r>
        <w:rPr>
          <w:rFonts w:hint="eastAsia"/>
        </w:rPr>
        <w:tab/>
      </w:r>
      <w:r>
        <w:rPr>
          <w:rFonts w:hint="eastAsia"/>
        </w:rPr>
        <w:t>亲自参与：人民参与应在各级实现制度化。</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60"/>
      </w:pPr>
      <w:r>
        <w:tab/>
      </w:r>
      <w:r>
        <w:rPr>
          <w:rFonts w:hint="eastAsia"/>
        </w:rPr>
        <w:t>㈠</w:t>
      </w:r>
      <w:r>
        <w:rPr>
          <w:rFonts w:hint="eastAsia"/>
        </w:rPr>
        <w:tab/>
      </w:r>
      <w:r>
        <w:rPr>
          <w:rFonts w:hint="eastAsia"/>
        </w:rPr>
        <w:t>国家：民间社会、私营部门、国际及政府间组织和各国政府之间经常亲力亲为的国家协商可使人们能够提供具体的反馈意见和分享经验，推动执行</w:t>
      </w:r>
      <w:r>
        <w:rPr>
          <w:rFonts w:hint="eastAsia"/>
        </w:rPr>
        <w:t>2015</w:t>
      </w:r>
      <w:r>
        <w:rPr>
          <w:rFonts w:hint="eastAsia"/>
        </w:rPr>
        <w:t>年后议程。协商结束后将由民间社会向本国政府提出具体建议，这些民间社会的报告也应成为全球审查的部分内容。</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60"/>
      </w:pPr>
      <w:r>
        <w:tab/>
      </w:r>
      <w:r>
        <w:rPr>
          <w:rFonts w:hint="eastAsia"/>
        </w:rPr>
        <w:t>㈡</w:t>
      </w:r>
      <w:r>
        <w:rPr>
          <w:rFonts w:hint="eastAsia"/>
        </w:rPr>
        <w:tab/>
      </w:r>
      <w:r>
        <w:rPr>
          <w:rFonts w:hint="eastAsia"/>
        </w:rPr>
        <w:t>区域：国家问责制可以得到区域对话的补充，也可辅之以与联合国区域委员会协调并利用这些委员会开展监测。民间社会在这一层面进行参与对促进知识共享、学习和确定良好做法，对制订解决办法和相互支持都至关重要。</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60"/>
      </w:pPr>
      <w:r>
        <w:tab/>
      </w:r>
      <w:r>
        <w:rPr>
          <w:rFonts w:hint="eastAsia"/>
        </w:rPr>
        <w:t>㈢</w:t>
      </w:r>
      <w:r>
        <w:rPr>
          <w:rFonts w:hint="eastAsia"/>
        </w:rPr>
        <w:tab/>
      </w:r>
      <w:r>
        <w:rPr>
          <w:rFonts w:hint="eastAsia"/>
        </w:rPr>
        <w:t>全球：为了充分落实大会关于高级别政治论坛的决议的各项规定，高级别政治论坛年度会议应拨出时间，让民间社会组织</w:t>
      </w:r>
      <w:r>
        <w:rPr>
          <w:rFonts w:hint="eastAsia"/>
        </w:rPr>
        <w:t>(</w:t>
      </w:r>
      <w:r>
        <w:rPr>
          <w:rFonts w:hint="eastAsia"/>
        </w:rPr>
        <w:t>无论是否具有经济及社会理事会咨商地位</w:t>
      </w:r>
      <w:r>
        <w:rPr>
          <w:rFonts w:hint="eastAsia"/>
        </w:rPr>
        <w:t>)</w:t>
      </w:r>
      <w:r>
        <w:rPr>
          <w:rFonts w:hint="eastAsia"/>
        </w:rPr>
        <w:t>出席并参与互动对话，包括参与国别进展审查。应当设立一个信托基金帮助民间社会组织前往出席高级别政治论坛会议。关于今后落实高级别政治论坛的决议必须包含明确的措辞，阐明和保障各级</w:t>
      </w:r>
      <w:r>
        <w:rPr>
          <w:rFonts w:hint="eastAsia"/>
        </w:rPr>
        <w:t>(</w:t>
      </w:r>
      <w:r>
        <w:rPr>
          <w:rFonts w:hint="eastAsia"/>
        </w:rPr>
        <w:t>包括全球、区域和国家</w:t>
      </w:r>
      <w:r>
        <w:rPr>
          <w:rFonts w:hint="eastAsia"/>
        </w:rPr>
        <w:t>)</w:t>
      </w:r>
      <w:r>
        <w:rPr>
          <w:rFonts w:hint="eastAsia"/>
        </w:rPr>
        <w:t>民间社会切实参与后续行动和审查进程。</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(b)</w:t>
      </w:r>
      <w:r>
        <w:rPr>
          <w:rFonts w:hint="eastAsia"/>
        </w:rPr>
        <w:tab/>
      </w:r>
      <w:r>
        <w:t xml:space="preserve"> </w:t>
      </w:r>
      <w:r>
        <w:rPr>
          <w:rFonts w:hint="eastAsia"/>
        </w:rPr>
        <w:t>远程参与：国家协商和高级别政治论坛会议应进行网播，所有报告均应以便于参与的格式公开提供，以提高透明度，增加民间社会的参与。民间社会应有机会进行书面发言</w:t>
      </w:r>
      <w:r>
        <w:rPr>
          <w:rFonts w:hint="eastAsia"/>
        </w:rPr>
        <w:lastRenderedPageBreak/>
        <w:t>和提出建议，并通过网播或其他在线平台远程与会。协商应力争实现现场和远程参与者之间的最高水平互动。</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pPr>
      <w:r>
        <w:rPr>
          <w:rFonts w:hint="eastAsia"/>
        </w:rPr>
        <w:t>(c)</w:t>
      </w:r>
      <w:r>
        <w:t xml:space="preserve"> </w:t>
      </w:r>
      <w:r>
        <w:rPr>
          <w:rFonts w:hint="eastAsia"/>
        </w:rPr>
        <w:tab/>
      </w:r>
      <w:r>
        <w:rPr>
          <w:rFonts w:hint="eastAsia"/>
        </w:rPr>
        <w:t>报告：</w:t>
      </w:r>
      <w:proofErr w:type="gramStart"/>
      <w:r>
        <w:rPr>
          <w:rFonts w:hint="eastAsia"/>
        </w:rPr>
        <w:t>借鉴民间社会参与普遍定期审议进程的模式</w:t>
      </w:r>
      <w:r>
        <w:rPr>
          <w:rFonts w:hint="eastAsia"/>
        </w:rPr>
        <w:t>(</w:t>
      </w:r>
      <w:proofErr w:type="gramEnd"/>
      <w:r>
        <w:rPr>
          <w:rFonts w:hint="eastAsia"/>
        </w:rPr>
        <w:t>即由联合国汇总非政府组织和其他非国家行为体的书面陈述，编制正式的《利益攸关方信息概要》，在审查国家人权纪录时审议</w:t>
      </w:r>
      <w:r>
        <w:rPr>
          <w:rFonts w:hint="eastAsia"/>
        </w:rPr>
        <w:t>)</w:t>
      </w:r>
      <w:r>
        <w:rPr>
          <w:rFonts w:hint="eastAsia"/>
        </w:rPr>
        <w:t>，应将类似的独立利益攸关方报告程序作为</w:t>
      </w:r>
      <w:r>
        <w:rPr>
          <w:rFonts w:hint="eastAsia"/>
        </w:rPr>
        <w:t>2015</w:t>
      </w:r>
      <w:r>
        <w:rPr>
          <w:rFonts w:hint="eastAsia"/>
        </w:rPr>
        <w:t>年后监测和审查工作的关键组成部分。</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pPr>
      <w:r>
        <w:rPr>
          <w:rFonts w:hint="eastAsia"/>
        </w:rPr>
        <w:t>(d)</w:t>
      </w:r>
      <w:r>
        <w:t xml:space="preserve"> </w:t>
      </w:r>
      <w:r>
        <w:rPr>
          <w:rFonts w:hint="eastAsia"/>
        </w:rPr>
        <w:tab/>
      </w:r>
      <w:r>
        <w:rPr>
          <w:rFonts w:hint="eastAsia"/>
        </w:rPr>
        <w:t>数据收集和监测能力建设：技术进步导致可用数据的类型和数量大幅增加。然而，许多公民特别是边缘化群体没有必要的资源、知识和能力利用这一数据。财政支助和资源应该用于建设民间社会和地方政府工作人员，包括社区和每名妇女、男子和儿童收集、获取、利用数据进行决策的能力。这将增强民间社会的权能，使之能在</w:t>
      </w:r>
      <w:r>
        <w:rPr>
          <w:rFonts w:hint="eastAsia"/>
        </w:rPr>
        <w:t>2015</w:t>
      </w:r>
      <w:r>
        <w:rPr>
          <w:rFonts w:hint="eastAsia"/>
        </w:rPr>
        <w:t>年后报告和协商中提出具体建议并监测进展情况。</w:t>
      </w:r>
    </w:p>
    <w:p w:rsidR="0094706F" w:rsidRP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rPr>
          <w:rFonts w:ascii="SimHei" w:eastAsia="SimHei" w:hAnsi="SimHei"/>
          <w:b/>
        </w:rPr>
      </w:pPr>
      <w:r w:rsidRPr="0094706F">
        <w:rPr>
          <w:rFonts w:ascii="SimHei" w:eastAsia="SimHei" w:hAnsi="SimHei" w:hint="eastAsia"/>
          <w:b/>
        </w:rPr>
        <w:t>透明度</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pPr>
      <w:r w:rsidRPr="007C3521">
        <w:rPr>
          <w:rFonts w:hint="eastAsia"/>
          <w:spacing w:val="-4"/>
        </w:rPr>
        <w:t>公民在没有充分的透明度和数据及信息可比性的情况下参与决策不会产生多大效果。作为切实参与的先决条件，公民必须有机会接触到及时、可分享和分门别类的公开数据和信息，供所有人使用和了解。透明度有助于更好地协调和掌握实时信息，来支持战略决策，并使机制和资源尽可能有效地促成发展成果。透明、方便使用和可比较的数据对于所有利益攸关方，包括各级政府、民间社会、社区和每个公民切实参与制订、执行和监测可持续发展目标、具体目标和指标至关重要</w:t>
      </w:r>
      <w:r>
        <w:rPr>
          <w:rFonts w:hint="eastAsia"/>
        </w:rPr>
        <w:t>。</w:t>
      </w:r>
    </w:p>
    <w:p w:rsidR="0094706F" w:rsidRP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rPr>
          <w:rFonts w:ascii="SimHei" w:eastAsia="SimHei" w:hAnsi="SimHei"/>
          <w:b/>
        </w:rPr>
      </w:pPr>
      <w:r w:rsidRPr="0094706F">
        <w:rPr>
          <w:rFonts w:ascii="SimHei" w:eastAsia="SimHei" w:hAnsi="SimHei" w:hint="eastAsia"/>
          <w:b/>
        </w:rPr>
        <w:t>建议</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pPr>
      <w:r>
        <w:rPr>
          <w:rFonts w:hint="eastAsia"/>
        </w:rPr>
        <w:t>监测、贯彻和审查模式、任务和作用必须明确透明。各级政府应以及时、准确、全面、易于理解和便于使用的方式提供信息。</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pPr>
      <w:r>
        <w:rPr>
          <w:rFonts w:hint="eastAsia"/>
        </w:rPr>
        <w:t>按照关于获取信息机会的国际人权标准，公共事务方面的所有数据和</w:t>
      </w:r>
      <w:r>
        <w:rPr>
          <w:rFonts w:hint="eastAsia"/>
        </w:rPr>
        <w:t>(</w:t>
      </w:r>
      <w:r>
        <w:rPr>
          <w:rFonts w:hint="eastAsia"/>
        </w:rPr>
        <w:t>或</w:t>
      </w:r>
      <w:r>
        <w:rPr>
          <w:rFonts w:hint="eastAsia"/>
        </w:rPr>
        <w:t>)</w:t>
      </w:r>
      <w:r>
        <w:rPr>
          <w:rFonts w:hint="eastAsia"/>
        </w:rPr>
        <w:t>公共供资编制的数据、包括私营部门编制的数据都应公开，并“以公开为原始设定值”。这意味着应以通用机读格式、免费及时向所有人提供政府信息和文件以及公共资助的研究成果，对使用和再使用不加限制。</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pPr>
      <w:r>
        <w:rPr>
          <w:rFonts w:hint="eastAsia"/>
        </w:rPr>
        <w:t>现有的全球公开数据信息共享标准，如国际援助透明度倡议应该得到加强。</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pPr>
      <w:r w:rsidRPr="007C3521">
        <w:rPr>
          <w:rFonts w:hint="eastAsia"/>
          <w:spacing w:val="-4"/>
        </w:rPr>
        <w:t>高级别政治论坛必须有助于传播各国政府和各级</w:t>
      </w:r>
      <w:r w:rsidRPr="007C3521">
        <w:rPr>
          <w:rFonts w:hint="eastAsia"/>
          <w:spacing w:val="-4"/>
        </w:rPr>
        <w:t>2015</w:t>
      </w:r>
      <w:r w:rsidRPr="007C3521">
        <w:rPr>
          <w:rFonts w:hint="eastAsia"/>
          <w:spacing w:val="-4"/>
        </w:rPr>
        <w:t>年后审查收集的有关信息，使民间社会能够推动和确定执行工作因缺乏资料和数据而无法顺利进行的领域</w:t>
      </w:r>
      <w:r>
        <w:rPr>
          <w:rFonts w:hint="eastAsia"/>
        </w:rPr>
        <w:t>。</w:t>
      </w:r>
    </w:p>
    <w:p w:rsidR="0094706F" w:rsidRP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rPr>
          <w:b/>
        </w:rPr>
      </w:pPr>
      <w:r w:rsidRPr="0094706F">
        <w:rPr>
          <w:rFonts w:ascii="SimHei" w:eastAsia="SimHei" w:hAnsi="SimHei" w:hint="eastAsia"/>
          <w:b/>
        </w:rPr>
        <w:t>结论</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pPr>
      <w:r>
        <w:rPr>
          <w:rFonts w:hint="eastAsia"/>
        </w:rPr>
        <w:t>本文件认为，参与和透明度是从地方到全球各级积极、有效和包容性</w:t>
      </w:r>
      <w:r>
        <w:rPr>
          <w:rFonts w:hint="eastAsia"/>
        </w:rPr>
        <w:t>2015</w:t>
      </w:r>
      <w:r>
        <w:rPr>
          <w:rFonts w:hint="eastAsia"/>
        </w:rPr>
        <w:t>年后框架问责机制的关键原则。如果我们实现有意义的参与和透明度，那么</w:t>
      </w:r>
      <w:r>
        <w:rPr>
          <w:rFonts w:hint="eastAsia"/>
        </w:rPr>
        <w:t>2015</w:t>
      </w:r>
      <w:r>
        <w:rPr>
          <w:rFonts w:hint="eastAsia"/>
        </w:rPr>
        <w:t>年后“后续行动和审查”机制就应当能够对可持续发展目标进行真正的问责。</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line="315" w:lineRule="exact"/>
        <w:ind w:left="0" w:right="1259"/>
      </w:pPr>
      <w:r>
        <w:rPr>
          <w:rFonts w:hint="eastAsia"/>
        </w:rPr>
        <w:t>确实，严格的审查和问责程序对于确保发挥</w:t>
      </w:r>
      <w:r>
        <w:rPr>
          <w:rFonts w:hint="eastAsia"/>
        </w:rPr>
        <w:t>2015</w:t>
      </w:r>
      <w:r>
        <w:rPr>
          <w:rFonts w:hint="eastAsia"/>
        </w:rPr>
        <w:t>年后议程的变革潜力、使承诺具有可信度和加强国家和社区对目标和具体目标的主导权绝对至关重要。</w:t>
      </w:r>
    </w:p>
    <w:p w:rsidR="0094706F" w:rsidRDefault="0094706F" w:rsidP="0094706F">
      <w:pPr>
        <w:pStyle w:val="SingleTxt"/>
        <w:tabs>
          <w:tab w:val="clear" w:pos="3850"/>
          <w:tab w:val="clear" w:pos="4281"/>
          <w:tab w:val="clear" w:pos="4712"/>
          <w:tab w:val="clear" w:pos="5143"/>
          <w:tab w:val="clear" w:pos="5574"/>
          <w:tab w:val="clear" w:pos="6005"/>
          <w:tab w:val="clear" w:pos="6435"/>
          <w:tab w:val="right" w:pos="1020"/>
          <w:tab w:val="left" w:pos="3849"/>
          <w:tab w:val="left" w:pos="4280"/>
          <w:tab w:val="left" w:pos="4711"/>
          <w:tab w:val="left" w:pos="5142"/>
          <w:tab w:val="left" w:pos="5573"/>
          <w:tab w:val="left" w:pos="6004"/>
        </w:tabs>
        <w:spacing w:after="120"/>
        <w:ind w:left="0" w:right="1259"/>
      </w:pPr>
      <w:r>
        <w:rPr>
          <w:rFonts w:hint="eastAsia"/>
        </w:rPr>
        <w:t>透明度、问责制和参与网络随时准备帮助会员国确保这一架构切合目标，即为目标远大的</w:t>
      </w:r>
      <w:r>
        <w:rPr>
          <w:rFonts w:hint="eastAsia"/>
        </w:rPr>
        <w:t>2015</w:t>
      </w:r>
      <w:r>
        <w:rPr>
          <w:rFonts w:hint="eastAsia"/>
        </w:rPr>
        <w:t>年后议程建立真正的问责制。</w:t>
      </w:r>
    </w:p>
    <w:p w:rsidR="00715E9B" w:rsidRDefault="00715E9B"/>
    <w:sectPr w:rsidR="00715E9B" w:rsidSect="002C1228">
      <w:headerReference w:type="firs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5D1B" w:rsidRDefault="005D5D1B" w:rsidP="0094706F">
      <w:pPr>
        <w:spacing w:after="0" w:line="240" w:lineRule="auto"/>
      </w:pPr>
      <w:r>
        <w:separator/>
      </w:r>
    </w:p>
  </w:endnote>
  <w:endnote w:type="continuationSeparator" w:id="0">
    <w:p w:rsidR="005D5D1B" w:rsidRDefault="005D5D1B" w:rsidP="00947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5D1B" w:rsidRDefault="005D5D1B" w:rsidP="0094706F">
      <w:pPr>
        <w:spacing w:after="0" w:line="240" w:lineRule="auto"/>
      </w:pPr>
      <w:r>
        <w:separator/>
      </w:r>
    </w:p>
  </w:footnote>
  <w:footnote w:type="continuationSeparator" w:id="0">
    <w:p w:rsidR="005D5D1B" w:rsidRDefault="005D5D1B" w:rsidP="0094706F">
      <w:pPr>
        <w:spacing w:after="0" w:line="240" w:lineRule="auto"/>
      </w:pPr>
      <w:r>
        <w:continuationSeparator/>
      </w:r>
    </w:p>
  </w:footnote>
  <w:footnote w:id="1">
    <w:p w:rsidR="0094706F" w:rsidRDefault="0094706F" w:rsidP="0094706F">
      <w:pPr>
        <w:pStyle w:val="FootnoteText"/>
        <w:tabs>
          <w:tab w:val="clear" w:pos="418"/>
          <w:tab w:val="right" w:pos="1195"/>
          <w:tab w:val="left" w:pos="1264"/>
          <w:tab w:val="left" w:pos="1695"/>
          <w:tab w:val="left" w:pos="2126"/>
          <w:tab w:val="left" w:pos="2557"/>
        </w:tabs>
        <w:ind w:right="1264"/>
      </w:pPr>
      <w:r>
        <w:rPr>
          <w:rStyle w:val="FootnoteReference"/>
        </w:rPr>
        <w:footnoteRef/>
      </w:r>
      <w:r>
        <w:tab/>
      </w:r>
      <w:r w:rsidRPr="00DD3A38">
        <w:rPr>
          <w:rFonts w:hint="eastAsia"/>
        </w:rPr>
        <w:t>联合国人权高专办和经济和社会权利中心</w:t>
      </w:r>
      <w:r>
        <w:rPr>
          <w:rFonts w:hint="eastAsia"/>
        </w:rPr>
        <w:t>(</w:t>
      </w:r>
      <w:r w:rsidRPr="00DD3A38">
        <w:rPr>
          <w:rFonts w:hint="eastAsia"/>
        </w:rPr>
        <w:t>2013</w:t>
      </w:r>
      <w:r w:rsidRPr="00DD3A38">
        <w:rPr>
          <w:rFonts w:hint="eastAsia"/>
        </w:rPr>
        <w:t>年</w:t>
      </w:r>
      <w:r>
        <w:rPr>
          <w:rFonts w:hint="eastAsia"/>
        </w:rPr>
        <w:t>)</w:t>
      </w:r>
      <w:r w:rsidRPr="00DD3A38">
        <w:rPr>
          <w:rFonts w:hint="eastAsia"/>
        </w:rPr>
        <w:t>，《谁来负责</w:t>
      </w:r>
      <w:r w:rsidRPr="00DD3A38">
        <w:rPr>
          <w:rFonts w:hint="eastAsia"/>
        </w:rPr>
        <w:t>?</w:t>
      </w:r>
      <w:r w:rsidRPr="004C749E">
        <w:t>——</w:t>
      </w:r>
      <w:r w:rsidRPr="00DD3A38">
        <w:rPr>
          <w:rFonts w:hint="eastAsia"/>
        </w:rPr>
        <w:t>人权和</w:t>
      </w:r>
      <w:r w:rsidRPr="00DD3A38">
        <w:rPr>
          <w:rFonts w:hint="eastAsia"/>
        </w:rPr>
        <w:t>2015</w:t>
      </w:r>
      <w:r w:rsidRPr="00DD3A38">
        <w:rPr>
          <w:rFonts w:hint="eastAsia"/>
        </w:rPr>
        <w:t>年后发展议程》和联合国秘书长新闻稿</w:t>
      </w:r>
      <w:r>
        <w:rPr>
          <w:rFonts w:hint="eastAsia"/>
        </w:rPr>
        <w:t>(</w:t>
      </w:r>
      <w:r w:rsidRPr="00DD3A38">
        <w:rPr>
          <w:rFonts w:hint="eastAsia"/>
        </w:rPr>
        <w:t>2010</w:t>
      </w:r>
      <w:r w:rsidRPr="00DD3A38">
        <w:rPr>
          <w:rFonts w:hint="eastAsia"/>
        </w:rPr>
        <w:t>年</w:t>
      </w:r>
      <w:r>
        <w:rPr>
          <w:rFonts w:hint="eastAsia"/>
        </w:rPr>
        <w:t>)(</w:t>
      </w:r>
      <w:r w:rsidRPr="00DD3A38">
        <w:rPr>
          <w:rFonts w:hint="eastAsia"/>
        </w:rPr>
        <w:t>SG/SM/12789-GA/10923-DEV/2791</w:t>
      </w:r>
      <w:r>
        <w:rPr>
          <w:rFonts w:hint="eastAsia"/>
        </w:rPr>
        <w:t>)</w:t>
      </w:r>
      <w:r w:rsidRPr="00DD3A38">
        <w:rPr>
          <w:rFonts w:hint="eastAsia"/>
        </w:rPr>
        <w:t>。</w:t>
      </w:r>
    </w:p>
  </w:footnote>
  <w:footnote w:id="2">
    <w:p w:rsidR="0094706F" w:rsidRDefault="0094706F" w:rsidP="0094706F">
      <w:pPr>
        <w:pStyle w:val="FootnoteText"/>
        <w:tabs>
          <w:tab w:val="clear" w:pos="418"/>
          <w:tab w:val="right" w:pos="1195"/>
          <w:tab w:val="left" w:pos="1264"/>
          <w:tab w:val="left" w:pos="1695"/>
          <w:tab w:val="left" w:pos="2126"/>
          <w:tab w:val="left" w:pos="2557"/>
        </w:tabs>
        <w:ind w:right="1264"/>
      </w:pPr>
      <w:r>
        <w:rPr>
          <w:rStyle w:val="FootnoteReference"/>
        </w:rPr>
        <w:footnoteRef/>
      </w:r>
      <w:r>
        <w:tab/>
      </w:r>
      <w:r w:rsidRPr="00DD3A38">
        <w:rPr>
          <w:rFonts w:hint="eastAsia"/>
        </w:rPr>
        <w:t>http://www.cesr.org/downloads/who_will_be_accountable.pdf</w:t>
      </w:r>
      <w:r w:rsidRPr="00DD3A38">
        <w:rPr>
          <w:rFonts w:hint="eastAsia"/>
        </w:rPr>
        <w:t>。</w:t>
      </w:r>
    </w:p>
  </w:footnote>
  <w:footnote w:id="3">
    <w:p w:rsidR="0094706F" w:rsidRDefault="0094706F" w:rsidP="0094706F">
      <w:pPr>
        <w:pStyle w:val="FootnoteText"/>
        <w:tabs>
          <w:tab w:val="clear" w:pos="418"/>
          <w:tab w:val="right" w:pos="1195"/>
          <w:tab w:val="left" w:pos="1264"/>
          <w:tab w:val="left" w:pos="1695"/>
          <w:tab w:val="left" w:pos="2126"/>
          <w:tab w:val="left" w:pos="2557"/>
        </w:tabs>
        <w:ind w:right="1264"/>
      </w:pPr>
      <w:r>
        <w:rPr>
          <w:rStyle w:val="FootnoteReference"/>
        </w:rPr>
        <w:footnoteRef/>
      </w:r>
      <w:r>
        <w:tab/>
      </w:r>
      <w:r w:rsidRPr="00EC27A6">
        <w:rPr>
          <w:rFonts w:hint="eastAsia"/>
          <w:spacing w:val="-4"/>
        </w:rPr>
        <w:t>请查看透明度、问责制和参与网络上关于指标的在线介绍全文，网址是</w:t>
      </w:r>
      <w:r w:rsidRPr="00EC27A6">
        <w:rPr>
          <w:rFonts w:hint="eastAsia"/>
          <w:spacing w:val="-4"/>
        </w:rPr>
        <w:t>http://tapnetwork2015.org/</w:t>
      </w:r>
      <w:r w:rsidRPr="000A385F">
        <w:rPr>
          <w:rFonts w:hint="eastAsia"/>
        </w:rPr>
        <w:t>。</w:t>
      </w:r>
    </w:p>
  </w:footnote>
  <w:footnote w:id="4">
    <w:p w:rsidR="0094706F" w:rsidRDefault="0094706F" w:rsidP="0094706F">
      <w:pPr>
        <w:pStyle w:val="FootnoteText"/>
        <w:tabs>
          <w:tab w:val="clear" w:pos="418"/>
          <w:tab w:val="right" w:pos="1195"/>
          <w:tab w:val="left" w:pos="1264"/>
          <w:tab w:val="left" w:pos="1695"/>
          <w:tab w:val="left" w:pos="2126"/>
          <w:tab w:val="left" w:pos="2557"/>
        </w:tabs>
        <w:ind w:right="1264"/>
      </w:pPr>
      <w:r>
        <w:rPr>
          <w:rStyle w:val="FootnoteReference"/>
        </w:rPr>
        <w:footnoteRef/>
      </w:r>
      <w:r>
        <w:tab/>
      </w:r>
      <w:r w:rsidRPr="00BC7C67">
        <w:rPr>
          <w:rFonts w:hint="eastAsia"/>
        </w:rPr>
        <w:t xml:space="preserve">www.ohchr.org/EN/HRBodies/UPR/Pages/UPRMain.aspx </w:t>
      </w:r>
      <w:r w:rsidRPr="00BC7C67">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228" w:rsidRDefault="002C1228">
    <w:pPr>
      <w:pStyle w:val="Header"/>
    </w:pPr>
    <w:r>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-189865</wp:posOffset>
          </wp:positionV>
          <wp:extent cx="1924050" cy="1283522"/>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P_BI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24050" cy="128352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706F"/>
    <w:rsid w:val="002C1228"/>
    <w:rsid w:val="005D5D1B"/>
    <w:rsid w:val="00715E9B"/>
    <w:rsid w:val="0094706F"/>
    <w:rsid w:val="00F165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3FB841A-BF67-44A2-BB0F-F8E36CA6A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qFormat/>
    <w:rsid w:val="0094706F"/>
    <w:pPr>
      <w:keepNext/>
      <w:keepLines/>
      <w:suppressAutoHyphens/>
      <w:spacing w:after="0" w:line="320" w:lineRule="exact"/>
      <w:jc w:val="both"/>
      <w:outlineLvl w:val="0"/>
    </w:pPr>
    <w:rPr>
      <w:rFonts w:ascii="SimHei" w:eastAsia="SimHei" w:hAnsi="Times New Roman" w:cs="Times New Roman"/>
      <w:kern w:val="14"/>
      <w:sz w:val="24"/>
      <w:szCs w:val="20"/>
      <w:lang w:eastAsia="zh-CN"/>
    </w:rPr>
  </w:style>
  <w:style w:type="paragraph" w:customStyle="1" w:styleId="SingleTxt">
    <w:name w:val="__Single Txt"/>
    <w:basedOn w:val="Normal"/>
    <w:qFormat/>
    <w:rsid w:val="0094706F"/>
    <w:pPr>
      <w:tabs>
        <w:tab w:val="left" w:pos="1264"/>
        <w:tab w:val="left" w:pos="1695"/>
        <w:tab w:val="left" w:pos="2126"/>
        <w:tab w:val="left" w:pos="2557"/>
        <w:tab w:val="left" w:pos="2988"/>
        <w:tab w:val="left" w:pos="3419"/>
        <w:tab w:val="left" w:pos="3850"/>
        <w:tab w:val="left" w:pos="4281"/>
        <w:tab w:val="left" w:pos="4712"/>
        <w:tab w:val="left" w:pos="5143"/>
        <w:tab w:val="left" w:pos="5574"/>
        <w:tab w:val="left" w:pos="6005"/>
        <w:tab w:val="left" w:pos="6435"/>
      </w:tabs>
      <w:spacing w:after="140" w:line="320" w:lineRule="exact"/>
      <w:ind w:left="1264" w:right="1264"/>
      <w:jc w:val="both"/>
    </w:pPr>
    <w:rPr>
      <w:rFonts w:ascii="Times New Roman" w:hAnsi="Times New Roman" w:cs="Times New Roman"/>
      <w:kern w:val="14"/>
      <w:sz w:val="21"/>
      <w:szCs w:val="20"/>
      <w:lang w:eastAsia="zh-CN"/>
    </w:rPr>
  </w:style>
  <w:style w:type="character" w:styleId="FootnoteReference">
    <w:name w:val="footnote reference"/>
    <w:basedOn w:val="DefaultParagraphFont"/>
    <w:semiHidden/>
    <w:rsid w:val="0094706F"/>
    <w:rPr>
      <w:color w:val="auto"/>
      <w:spacing w:val="0"/>
      <w:w w:val="150"/>
      <w:position w:val="0"/>
      <w:vertAlign w:val="superscript"/>
    </w:rPr>
  </w:style>
  <w:style w:type="paragraph" w:styleId="FootnoteText">
    <w:name w:val="footnote text"/>
    <w:basedOn w:val="Normal"/>
    <w:link w:val="FootnoteTextChar"/>
    <w:semiHidden/>
    <w:rsid w:val="0094706F"/>
    <w:pPr>
      <w:tabs>
        <w:tab w:val="right" w:pos="418"/>
      </w:tabs>
      <w:spacing w:after="120" w:line="240" w:lineRule="exact"/>
      <w:ind w:left="170" w:hanging="170"/>
      <w:jc w:val="both"/>
    </w:pPr>
    <w:rPr>
      <w:rFonts w:ascii="Times New Roman" w:hAnsi="Times New Roman" w:cs="Times New Roman"/>
      <w:noProof/>
      <w:kern w:val="14"/>
      <w:sz w:val="18"/>
      <w:szCs w:val="20"/>
      <w:lang w:eastAsia="zh-CN"/>
    </w:rPr>
  </w:style>
  <w:style w:type="character" w:customStyle="1" w:styleId="FootnoteTextChar">
    <w:name w:val="Footnote Text Char"/>
    <w:basedOn w:val="DefaultParagraphFont"/>
    <w:link w:val="FootnoteText"/>
    <w:semiHidden/>
    <w:rsid w:val="0094706F"/>
    <w:rPr>
      <w:rFonts w:ascii="Times New Roman" w:eastAsia="SimSun" w:hAnsi="Times New Roman" w:cs="Times New Roman"/>
      <w:noProof/>
      <w:kern w:val="14"/>
      <w:sz w:val="18"/>
      <w:szCs w:val="20"/>
      <w:lang w:eastAsia="zh-CN"/>
    </w:rPr>
  </w:style>
  <w:style w:type="paragraph" w:styleId="Header">
    <w:name w:val="header"/>
    <w:basedOn w:val="Normal"/>
    <w:link w:val="HeaderChar"/>
    <w:uiPriority w:val="99"/>
    <w:unhideWhenUsed/>
    <w:rsid w:val="009470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06F"/>
  </w:style>
  <w:style w:type="paragraph" w:styleId="Footer">
    <w:name w:val="footer"/>
    <w:basedOn w:val="Normal"/>
    <w:link w:val="FooterChar"/>
    <w:uiPriority w:val="99"/>
    <w:unhideWhenUsed/>
    <w:rsid w:val="0094706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0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797</Words>
  <Characters>4547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Romano</dc:creator>
  <cp:keywords/>
  <dc:description/>
  <cp:lastModifiedBy>John Romano</cp:lastModifiedBy>
  <cp:revision>5</cp:revision>
  <dcterms:created xsi:type="dcterms:W3CDTF">2015-07-01T20:07:00Z</dcterms:created>
  <dcterms:modified xsi:type="dcterms:W3CDTF">2015-07-01T20:41:00Z</dcterms:modified>
</cp:coreProperties>
</file>