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37B" w:rsidRDefault="00BF237B" w:rsidP="00BF237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5341B1A" wp14:editId="3B00574A">
            <wp:simplePos x="0" y="0"/>
            <wp:positionH relativeFrom="margin">
              <wp:align>center</wp:align>
            </wp:positionH>
            <wp:positionV relativeFrom="paragraph">
              <wp:posOffset>-609600</wp:posOffset>
            </wp:positionV>
            <wp:extent cx="2286000" cy="152497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P_BI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9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237B" w:rsidRDefault="00BF237B" w:rsidP="00BF237B">
      <w:pPr>
        <w:pStyle w:val="SingleTxt"/>
      </w:pPr>
    </w:p>
    <w:p w:rsidR="00BF237B" w:rsidRDefault="00BF237B" w:rsidP="00BF237B">
      <w:pPr>
        <w:pStyle w:val="SingleTxt"/>
      </w:pPr>
    </w:p>
    <w:p w:rsidR="00BF237B" w:rsidRDefault="00BF237B" w:rsidP="00BF237B">
      <w:pPr>
        <w:pStyle w:val="SingleTxt"/>
        <w:ind w:left="0"/>
      </w:pPr>
    </w:p>
    <w:p w:rsidR="00BF237B" w:rsidRDefault="00BF237B" w:rsidP="00BF237B">
      <w:pPr>
        <w:pStyle w:val="SingleTxt"/>
        <w:ind w:left="0"/>
      </w:pPr>
    </w:p>
    <w:p w:rsidR="00BF237B" w:rsidRDefault="00BF237B" w:rsidP="00BF237B">
      <w:pPr>
        <w:pStyle w:val="SingleTxt"/>
        <w:ind w:left="0"/>
      </w:pPr>
    </w:p>
    <w:p w:rsidR="00BF237B" w:rsidRPr="00BF237B" w:rsidRDefault="00BF237B" w:rsidP="00BF237B">
      <w:pPr>
        <w:pStyle w:val="SingleTxt"/>
        <w:ind w:left="0"/>
        <w:rPr>
          <w:b/>
        </w:rPr>
      </w:pPr>
      <w:r w:rsidRPr="00BF237B">
        <w:rPr>
          <w:b/>
        </w:rPr>
        <w:t>перевод с Резолюцией ООН E / HLPF / 2015/2</w:t>
      </w:r>
    </w:p>
    <w:p w:rsidR="00BF237B" w:rsidRDefault="00BF237B" w:rsidP="00BF237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bookmarkStart w:id="0" w:name="_GoBack"/>
      <w:bookmarkEnd w:id="0"/>
    </w:p>
    <w:p w:rsidR="00BF237B" w:rsidRPr="00A72E91" w:rsidRDefault="00BF237B" w:rsidP="00BF237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r w:rsidRPr="00A72E91">
        <w:t>Сеть по обеспечению транспарентности, подотчетности и участия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r>
        <w:tab/>
      </w:r>
      <w:r w:rsidRPr="00A72E91">
        <w:t>Введение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SingleTxt"/>
        <w:ind w:left="0"/>
      </w:pPr>
      <w:r w:rsidRPr="00A72E91">
        <w:t xml:space="preserve">Для обеспечения действительно трансформационного характера целей в области устойчивого развития (ЦУР) рамочная структура мониторинга и подотчетности, охватывающая все уровни от местного до глобального, должна быть инклюзивной, транспарентной, коллегиальной и ориентированной на нужды и интересы людей. </w:t>
      </w:r>
    </w:p>
    <w:p w:rsidR="00BF237B" w:rsidRPr="00A72E91" w:rsidRDefault="00BF237B" w:rsidP="00BF237B">
      <w:pPr>
        <w:pStyle w:val="SingleTxt"/>
        <w:ind w:left="0"/>
      </w:pPr>
      <w:r w:rsidRPr="00A72E91">
        <w:t xml:space="preserve">Рамочная структура подотчетности обладает потенциалом, необходимым для ликвидации слабых мест в механизмах последующей деятельности и обеспечения подотчетности в рамках осуществления целей </w:t>
      </w:r>
      <w:r w:rsidRPr="00A72E91">
        <w:rPr>
          <w:bCs/>
        </w:rPr>
        <w:t>в области развития, сформулированных в Декларации тысячелетия</w:t>
      </w:r>
      <w:r w:rsidRPr="00A72E91">
        <w:rPr>
          <w:b/>
          <w:bCs/>
        </w:rPr>
        <w:t xml:space="preserve"> </w:t>
      </w:r>
      <w:r w:rsidRPr="00A72E91">
        <w:rPr>
          <w:bCs/>
        </w:rPr>
        <w:t>(ЦРДТ), а также повышения уровня авторитетности и эффективности повестки дня в области развития на период после 2015</w:t>
      </w:r>
      <w:r>
        <w:rPr>
          <w:bCs/>
        </w:rPr>
        <w:t> год</w:t>
      </w:r>
      <w:r w:rsidRPr="00A72E91">
        <w:rPr>
          <w:bCs/>
        </w:rPr>
        <w:t>а и повышения сопричастности реализующих ее сторон. Масштабные консультации, которые были начаты Организацией Объединенных Наций на глобальном и национальном уровнях, легли в основу разработки концепции и обсуждения ЦУР и заложили прочный фундамент для инклюзивной, транспарентной и коллегиальной рамочной структуры подотчетности в рамках ЦУР.</w:t>
      </w:r>
    </w:p>
    <w:p w:rsidR="00BF237B" w:rsidRPr="00A72E91" w:rsidRDefault="00BF237B" w:rsidP="00BF237B">
      <w:pPr>
        <w:pStyle w:val="SingleTxt"/>
        <w:ind w:left="0"/>
      </w:pPr>
      <w:r w:rsidRPr="00A72E91">
        <w:t>Опыт, полученный в ходе осуществления рамочной программы ЦРДТ, показал, что для привлечения к ответственности государств и других уполномоченных субъектов необходимо создать достаточно мощную рамочную структуру подотчетности. Несмотря на различия в опыте разных стран, можно сказать, что процессы национального мониторинга и обзора не использовались систематическим образом для поддержки или привлечения людей, живущих в нищете, включая детей и маргинализированные группы, для участия, высказывания мнения или оказания воздействия. Генеральный секретарь отмечает, что отсутствие подотчетности стало одной из причин недостаточного прогресса в достижении ЦРДТ</w:t>
      </w:r>
      <w:r w:rsidRPr="00A72E91">
        <w:rPr>
          <w:vertAlign w:val="superscript"/>
        </w:rPr>
        <w:footnoteReference w:id="1"/>
      </w:r>
      <w:r w:rsidRPr="00A72E91">
        <w:t xml:space="preserve">. </w:t>
      </w:r>
    </w:p>
    <w:p w:rsidR="00BF237B" w:rsidRPr="00A72E91" w:rsidRDefault="00BF237B" w:rsidP="00BF237B">
      <w:pPr>
        <w:pStyle w:val="SingleTxt"/>
        <w:ind w:left="0"/>
      </w:pPr>
      <w:r w:rsidRPr="00A72E91">
        <w:t>В данном заключении говорится о том, почему принципы транспарентности, подотчетности и участия имеют большое значение для обеспечения эффективного мониторинга и последующей деятельности в период после 2015</w:t>
      </w:r>
      <w:r>
        <w:t> год</w:t>
      </w:r>
      <w:r w:rsidRPr="00A72E91">
        <w:t xml:space="preserve">а, а также предлагаются рекомендации относительно того, каким образом эти принципы могут быть интегрированы в полноценную систему подотчетности на местном, национальном, региональном и международном уровнях. </w:t>
      </w:r>
    </w:p>
    <w:p w:rsidR="00BF237B" w:rsidRPr="00A72E91" w:rsidRDefault="00BF237B" w:rsidP="00BF237B">
      <w:pPr>
        <w:pStyle w:val="SingleTxt"/>
        <w:spacing w:after="0" w:line="120" w:lineRule="exact"/>
        <w:rPr>
          <w:sz w:val="10"/>
        </w:rPr>
      </w:pPr>
    </w:p>
    <w:p w:rsidR="00BF237B" w:rsidRPr="00A72E91" w:rsidRDefault="00BF237B" w:rsidP="00BF23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r w:rsidRPr="00A72E91">
        <w:tab/>
        <w:t>Подотчетность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SingleTxt"/>
        <w:ind w:left="0"/>
      </w:pPr>
      <w:r w:rsidRPr="00A72E91">
        <w:t xml:space="preserve">«Подотчетность» — это не то же самое, что «мониторинг», «последующая деятельность» или «обзор», хотя все они являются важными элементами обеспечения подотчетности. </w:t>
      </w:r>
      <w:r w:rsidRPr="00A72E91">
        <w:lastRenderedPageBreak/>
        <w:t>Подотчетность, наравне с транспарентностью и участием граждан, являющимися обязательными условиями, обладает как превентивными, так и корректирующими свойствами и включает в себя три компонента: ответственность, способность отвечать за свои действия и способность обеспечивать исполнение</w:t>
      </w:r>
      <w:r w:rsidRPr="00A72E91">
        <w:rPr>
          <w:vertAlign w:val="superscript"/>
        </w:rPr>
        <w:footnoteReference w:id="2"/>
      </w:r>
      <w:r w:rsidRPr="00A72E91">
        <w:t xml:space="preserve">. </w:t>
      </w:r>
    </w:p>
    <w:p w:rsidR="00BF237B" w:rsidRPr="00A72E91" w:rsidRDefault="00BF237B" w:rsidP="00BF237B">
      <w:pPr>
        <w:pStyle w:val="SingleTxt"/>
        <w:numPr>
          <w:ilvl w:val="0"/>
          <w:numId w:val="1"/>
        </w:numPr>
        <w:ind w:left="1260" w:firstLine="468"/>
      </w:pPr>
      <w:r w:rsidRPr="00A72E91">
        <w:t>Ответственность: итоговая повестка дня в области развития на период после 2015</w:t>
      </w:r>
      <w:r>
        <w:t> год</w:t>
      </w:r>
      <w:r w:rsidRPr="00A72E91">
        <w:t>а должна четко разграничить ответственных лиц и сферы их ответственности таким образом, чтобы обеспечить транспарентную оценку действий уполномоченных субъектов и прогресса в целом. Одним из важных элементов являются глобальные и национальные показатели</w:t>
      </w:r>
      <w:r w:rsidRPr="00A72E91">
        <w:rPr>
          <w:vertAlign w:val="superscript"/>
        </w:rPr>
        <w:footnoteReference w:id="3"/>
      </w:r>
      <w:r w:rsidRPr="00A72E91">
        <w:t>, которые позволяют эффективно оценить выполнение поставленных задач (и определяются путем обширных и инклюзивных консультаций с национальными статистическими организациями, гражданским обществом и другими экспертами);</w:t>
      </w:r>
    </w:p>
    <w:p w:rsidR="00BF237B" w:rsidRPr="00672D6B" w:rsidRDefault="00BF237B" w:rsidP="00BF237B">
      <w:pPr>
        <w:pStyle w:val="SingleTxt"/>
        <w:numPr>
          <w:ilvl w:val="0"/>
          <w:numId w:val="8"/>
        </w:numPr>
        <w:ind w:left="1267" w:firstLine="468"/>
      </w:pPr>
      <w:r w:rsidRPr="00A72E91">
        <w:t>способность отвечать за свои действия: повестка дня в области развития на период после 2015</w:t>
      </w:r>
      <w:r>
        <w:t> год</w:t>
      </w:r>
      <w:r w:rsidRPr="00A72E91">
        <w:t xml:space="preserve">а должна обеспечить </w:t>
      </w:r>
      <w:r w:rsidRPr="00672D6B">
        <w:t>многочисленные форумы и каналы для обзора, диалога и дискуссий между всеми субъектами и заинтересованными сторонами, чтобы лица, ответственные за осуществление повестки дня, могли представить информацию о ходе работ, трудностях и выборе. Для того чтобы лица, ответственные за осуществление повестки дня, могли отчитываться о своей работе перед «выгодополучателями», следует создать официальные механизмы и возможности для публичного диалога и участия на уровне правительства, а актуальная и обновленная информация должна заблаговременно предоставляться в транспарентной, сопоставимой, доступной и понятной форме. Отдельные граждане, сообщества и организации также должны иметь возможность самостоятельно и свободно собирать данные и информацию и осуществлять свои права на свободу выражения мнений и свободу мирных собраний и ассоциаций;</w:t>
      </w:r>
    </w:p>
    <w:p w:rsidR="00BF237B" w:rsidRPr="00672D6B" w:rsidRDefault="00BF237B" w:rsidP="00BF237B">
      <w:pPr>
        <w:pStyle w:val="SingleTxt"/>
        <w:numPr>
          <w:ilvl w:val="0"/>
          <w:numId w:val="8"/>
        </w:numPr>
        <w:ind w:left="1267" w:firstLine="468"/>
      </w:pPr>
      <w:r w:rsidRPr="00672D6B">
        <w:t>способность обеспечивать исполнение: не</w:t>
      </w:r>
      <w:r w:rsidRPr="00A72E91">
        <w:t>смотря на то, что ЦУР не носят юридически обязывающий характер, необходимо предусмотреть гарантии и стимулы, благодаря которым слова не будут расходиться с делом. Компонент «последующей деятельности и обзора» итоговой рамочной программы в области развития на период после 2015</w:t>
      </w:r>
      <w:r>
        <w:t> год</w:t>
      </w:r>
      <w:r w:rsidRPr="00A72E91">
        <w:t xml:space="preserve">а должен обеспечить реальные стимулы для государств держать свои обещания и вести мониторинг достигнутых результатов, а также помочь в выявлении конкретных процессов и механизмов для обзора прогресса и вызовов, равно как и определении потребности в принятии корректирующих мер в случае возникновения проблем. 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r w:rsidRPr="00A72E91">
        <w:tab/>
      </w:r>
      <w:r w:rsidRPr="00A72E91">
        <w:tab/>
        <w:t>Уровни подотчетности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SingleTxt"/>
        <w:ind w:left="0"/>
      </w:pPr>
      <w:r w:rsidRPr="00A72E91">
        <w:t>Основные взаимоотношения, касающиеся подотчетности, — это взаимоотношения между государством и его гражданами. В связи с этим в основе структуры подотчетности в период после 2015</w:t>
      </w:r>
      <w:r>
        <w:t> год</w:t>
      </w:r>
      <w:r w:rsidRPr="00A72E91">
        <w:t xml:space="preserve">а должны лежать инклюзивные процессы обеспечения национальной подотчетности, опирающиеся на активные и коллегиальные сбор данных и мониторинг (включая данные, предоставляемые гражданами). Важные возможности для укрепления подотчетности существуют также на региональном и глобальном уровнях. </w:t>
      </w:r>
    </w:p>
    <w:p w:rsidR="00BF237B" w:rsidRPr="00A72E91" w:rsidRDefault="00BF237B" w:rsidP="00BF237B">
      <w:pPr>
        <w:pStyle w:val="SingleTxt"/>
        <w:ind w:left="0"/>
      </w:pPr>
      <w:r w:rsidRPr="00A72E91">
        <w:lastRenderedPageBreak/>
        <w:t xml:space="preserve">Помимо усилий, прилагаемых на национальном уровне, формирование надежных договоренностей в отношении международных процессов обзора и подотчетности позволит: </w:t>
      </w:r>
    </w:p>
    <w:p w:rsidR="00BF237B" w:rsidRPr="00672D6B" w:rsidRDefault="00BF237B" w:rsidP="00BF237B">
      <w:pPr>
        <w:pStyle w:val="SingleTxt"/>
        <w:numPr>
          <w:ilvl w:val="0"/>
          <w:numId w:val="2"/>
        </w:numPr>
        <w:ind w:left="1260" w:firstLine="468"/>
      </w:pPr>
      <w:r w:rsidRPr="00A72E91">
        <w:t xml:space="preserve">придерживаться более </w:t>
      </w:r>
      <w:r w:rsidRPr="00672D6B">
        <w:t xml:space="preserve">широкого подхода к прогрессу и существующим тенденциям и устранять некоторые из наиболее системных трансграничных препятствий и ограничений; </w:t>
      </w:r>
    </w:p>
    <w:p w:rsidR="00BF237B" w:rsidRPr="00672D6B" w:rsidRDefault="00BF237B" w:rsidP="00BF237B">
      <w:pPr>
        <w:pStyle w:val="SingleTxt"/>
        <w:numPr>
          <w:ilvl w:val="0"/>
          <w:numId w:val="2"/>
        </w:numPr>
        <w:ind w:left="1260" w:firstLine="468"/>
      </w:pPr>
      <w:r w:rsidRPr="00672D6B">
        <w:t>обеспечить обмен опытом между странами;</w:t>
      </w:r>
    </w:p>
    <w:p w:rsidR="00BF237B" w:rsidRPr="00672D6B" w:rsidRDefault="00BF237B" w:rsidP="00BF237B">
      <w:pPr>
        <w:pStyle w:val="SingleTxt"/>
        <w:numPr>
          <w:ilvl w:val="0"/>
          <w:numId w:val="2"/>
        </w:numPr>
        <w:ind w:left="1260" w:firstLine="468"/>
      </w:pPr>
      <w:r w:rsidRPr="00672D6B">
        <w:t xml:space="preserve">обеспечить дополнительный уровень подотчетности государства перед гражданами, необходимый в первую очередь для усиления инклюзивного участия групп, страдающих от пренебрежения и дискриминации в связи с их происхождением (например, по причине принадлежности к определенной касте, расе, религиозным меньшинствам, а также из-за других форм дискриминации), что будет способствовать укреплению взаимной подотчетности между государствами в рамках их дифференцированной ответственности при выполнении ими своих обязательств. </w:t>
      </w:r>
    </w:p>
    <w:p w:rsidR="00BF237B" w:rsidRPr="00A72E91" w:rsidRDefault="00BF237B" w:rsidP="00BF237B">
      <w:pPr>
        <w:pStyle w:val="SingleTxt"/>
        <w:ind w:left="0"/>
      </w:pPr>
      <w:r w:rsidRPr="00A72E91">
        <w:t>При проведении процессов на глобальном уровне необходимо учитывать обратную связь, итоги и информацию, полученные на местном и национальном уровнях, включая доклады и данные, представленные гражданским обществом и общинами.</w:t>
      </w:r>
    </w:p>
    <w:p w:rsidR="00BF237B" w:rsidRPr="00A72E91" w:rsidRDefault="00BF237B" w:rsidP="00BF237B">
      <w:pPr>
        <w:pStyle w:val="SingleTxt"/>
        <w:ind w:left="0"/>
      </w:pPr>
      <w:r w:rsidRPr="00A72E91">
        <w:t>Тем не менее государства являются не единственными уполномоченными субъектами в период после 2015</w:t>
      </w:r>
      <w:r>
        <w:t> год</w:t>
      </w:r>
      <w:r w:rsidRPr="00A72E91">
        <w:t>а. Предмет и мандат утвержденных процедур обзора и подотчетности должны также включать в себя мониторинг влияния и действий других субъектов, включая частный сектор, государственно-частные партнерства, международные финансовые институты, учреждения Организации Объединенных Наций и гражданское общество. Структура последующей деятельности и обзора повестки дня в области развития на период после 2015</w:t>
      </w:r>
      <w:r>
        <w:t> год</w:t>
      </w:r>
      <w:r w:rsidRPr="00A72E91">
        <w:t>а должна, например, проводить обзоры вклада частного сектора в осуществление ЦУР и Руководящих принципов предпринимательской деятельности в аспекте прав человека. Подобный мониторинг и обзор дополнят мониторинг конкретных мер в отношении ответственности частного сектора, включенных в повестку дня в области развития на период после 2015</w:t>
      </w:r>
      <w:r>
        <w:t> год</w:t>
      </w:r>
      <w:r w:rsidRPr="00A72E91">
        <w:t xml:space="preserve">а. </w:t>
      </w:r>
    </w:p>
    <w:p w:rsidR="00BF237B" w:rsidRPr="00A72E91" w:rsidRDefault="00BF237B" w:rsidP="00BF237B">
      <w:pPr>
        <w:pStyle w:val="SingleTxt"/>
        <w:ind w:left="0"/>
      </w:pPr>
      <w:r w:rsidRPr="00A72E91">
        <w:t>Структура обзора предусматривает не только мониторинг и отслеживание прогресса в достижении результатов в области устойчивого развития, но также мониторинг средств осуществления в соответствии с резолюцией 67/290 Генеральной Ассамблеи о создании политического форума высокого уровня. Если мы намерены обеспечить действительно революционную повестку дня в области развития на период после 2015</w:t>
      </w:r>
      <w:r>
        <w:t> год</w:t>
      </w:r>
      <w:r w:rsidRPr="00A72E91">
        <w:t>а, мы должны принять во внимание опыт, полученный в ходе осуществления ЦРДТ, в частности касающийся ограниченности обязательств в рамках цели 8. Это подразумевает контроль выполнения обязательств, принятых в рамках итогового документа третьей Международной конференции по финансированию развития, равно как и задач, касающихся средств осуществления и перечисленных в рамках каждой ЦУР и в частности цели 17.</w:t>
      </w:r>
    </w:p>
    <w:p w:rsidR="00BF237B" w:rsidRPr="00A72E91" w:rsidRDefault="00BF237B" w:rsidP="00BF237B">
      <w:pPr>
        <w:pStyle w:val="SingleTxt"/>
        <w:ind w:left="0"/>
      </w:pPr>
      <w:r w:rsidRPr="00A72E91">
        <w:t>Для этого потребуется следить за балансом дифференцированных обязанностей и возможностей развитых и развивающихся стран в том, что касается финансирования повестки дня, а также всеобщих обязательств по содействию благоприятным условиям для устойчивого развития. Таким образом, глобальный уровень обзоров в период после 2015</w:t>
      </w:r>
      <w:r>
        <w:t> год</w:t>
      </w:r>
      <w:r w:rsidRPr="00A72E91">
        <w:t xml:space="preserve">а должен предусматривать возможность оценки прогресса, пробелов и барьеров применительно к цели 17 и другим задачам, касающимся средств осуществления, равно как и общего состояния глобального партнерства, вклада отдельных стран и транснациональных организаций, согласованности политики и влияния стран на </w:t>
      </w:r>
      <w:r w:rsidRPr="00A72E91">
        <w:lastRenderedPageBreak/>
        <w:t>устойчивое развитие вне их национальных границ (например, посредством налогов, официальной помощи в целях развития, торговой и природоохранной политики).</w:t>
      </w:r>
    </w:p>
    <w:p w:rsidR="00BF237B" w:rsidRPr="00A72E91" w:rsidRDefault="00BF237B" w:rsidP="00BF237B">
      <w:pPr>
        <w:pStyle w:val="SingleTxt"/>
        <w:ind w:left="0"/>
      </w:pPr>
      <w:r w:rsidRPr="00A72E91">
        <w:t>Политический форум высокого уровня призван стать глобальной платформой для последующей деятельности и обзора в период после 2015</w:t>
      </w:r>
      <w:r>
        <w:t> год</w:t>
      </w:r>
      <w:r w:rsidRPr="00A72E91">
        <w:t>а, выступая в качестве зонтичной структуры, объединяющей различные звенья подотчетности в период после 2015</w:t>
      </w:r>
      <w:r>
        <w:t> год</w:t>
      </w:r>
      <w:r w:rsidRPr="00A72E91">
        <w:t xml:space="preserve">а. Он должен осуществлять обзор прогресса на национальном и глобальном уровнях, представлять рекомендации относительно путей устранения проблем и пробелов, поощрять меры по ликвидации пробелов в области осуществления и содействовать обмену опытом в целях обеспечения транспарентности и участия во всех видах своей деятельности. В рамках своего мандата, закрепленного в резолюции 67/290 Генеральной Ассамблеи, политический форум высокого уровня должен также обеспечить гражданскому обществу специальную роль и площадку для участия. Он также должен привлечь гражданское общество для помощи правительствам ликвидировать пробелы в осуществлении, последующей деятельности, получении и мониторинге данных и многих других вопросах — как на глобальном, так и на национальном уровне. Если участие граждан не будет закреплено в качестве основы механизма обзора политического форума высокого уровня, мы рискуем вновь повторить ошибки, допущенные в ходе разработки процессов последующей деятельности в связи с ЦРДТ, и упустить жизненно важную возможность повысить уровень ответственности в рамках повестки дня </w:t>
      </w:r>
      <w:r w:rsidRPr="00A72E91">
        <w:rPr>
          <w:bCs/>
        </w:rPr>
        <w:t>в области развития на период после 2015</w:t>
      </w:r>
      <w:r>
        <w:rPr>
          <w:bCs/>
        </w:rPr>
        <w:t> год</w:t>
      </w:r>
      <w:r w:rsidRPr="00A72E91">
        <w:rPr>
          <w:bCs/>
        </w:rPr>
        <w:t>а</w:t>
      </w:r>
      <w:r w:rsidRPr="00A72E91">
        <w:t xml:space="preserve"> на всех уровнях. 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r w:rsidRPr="00A72E91">
        <w:tab/>
        <w:t>Рекомендации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SingleTxt"/>
        <w:ind w:left="0"/>
      </w:pPr>
      <w:r w:rsidRPr="00A72E91">
        <w:t>Необходимо создать механизмы и процессы подотчетности, которые позволят обеспечить мониторинг всех аспектов рамочной программы развития на период после 2015</w:t>
      </w:r>
      <w:r>
        <w:t> год</w:t>
      </w:r>
      <w:r w:rsidRPr="00A72E91">
        <w:t>а и иных взаимосвязанных обязательств в области развития, включая сами ЦУР, средства их осуществления и ожидаемые итоги третьей Международной конференции по финансированию развития.</w:t>
      </w:r>
      <w:r w:rsidRPr="00A72E91">
        <w:rPr>
          <w:b/>
        </w:rPr>
        <w:t xml:space="preserve"> </w:t>
      </w:r>
      <w:r w:rsidRPr="00A72E91">
        <w:t xml:space="preserve">Все процессы должны носить транспарентный, инклюзивный и коллегиальный характер и стремиться учесть все мнения и точки зрения самых маргинализированных, уязвимых и подвергающихся дискриминации женщин, мужчин и детей. Необходимо устранять различные барьеры, препятствующие участию изолированных групп и физических лиц на различных уровнях. </w:t>
      </w:r>
    </w:p>
    <w:p w:rsidR="00BF237B" w:rsidRPr="00A72E91" w:rsidRDefault="00BF237B" w:rsidP="00BF237B">
      <w:pPr>
        <w:pStyle w:val="SingleTxt"/>
        <w:ind w:left="0"/>
      </w:pPr>
      <w:r w:rsidRPr="00A72E91">
        <w:t>Политический форум высокого уровня должен содействовать формированию надежных и доступных процессов мониторинга и обзора на глобальном уровне и давать возможность для использования дополнений со стороны широкого спектра заинтересованных сторон и других процессов обзора в целях обеспечения более широкого понимания прогресса и существующих вызовов. В соответствии с моделью универсального периодического обзора (УПО) Совета Организации Объединенных Наций по правам человека в основе обзоров политического форума высокого уровня должны лежать три вида данных:</w:t>
      </w:r>
    </w:p>
    <w:p w:rsidR="00BF237B" w:rsidRPr="00672D6B" w:rsidRDefault="00BF237B" w:rsidP="00BF237B">
      <w:pPr>
        <w:pStyle w:val="SingleTxt"/>
        <w:numPr>
          <w:ilvl w:val="0"/>
          <w:numId w:val="3"/>
        </w:numPr>
        <w:ind w:left="1260" w:firstLine="468"/>
      </w:pPr>
      <w:r w:rsidRPr="00672D6B">
        <w:t>национальные доклады государств;</w:t>
      </w:r>
    </w:p>
    <w:p w:rsidR="00BF237B" w:rsidRPr="00672D6B" w:rsidRDefault="00BF237B" w:rsidP="00BF237B">
      <w:pPr>
        <w:pStyle w:val="SingleTxt"/>
        <w:numPr>
          <w:ilvl w:val="0"/>
          <w:numId w:val="3"/>
        </w:numPr>
        <w:ind w:left="1260" w:firstLine="468"/>
      </w:pPr>
      <w:r w:rsidRPr="00672D6B">
        <w:t>информация структур Организации Объединенных Наций</w:t>
      </w:r>
    </w:p>
    <w:p w:rsidR="00BF237B" w:rsidRPr="00A72E91" w:rsidRDefault="00BF237B" w:rsidP="00BF237B">
      <w:pPr>
        <w:pStyle w:val="SingleTxt"/>
        <w:numPr>
          <w:ilvl w:val="0"/>
          <w:numId w:val="3"/>
        </w:numPr>
        <w:ind w:left="1260" w:firstLine="468"/>
      </w:pPr>
      <w:r w:rsidRPr="00672D6B">
        <w:t>неза</w:t>
      </w:r>
      <w:r w:rsidRPr="00A72E91">
        <w:t>висимые доклады представителей гражданского общества и других негосударственных субъектов.</w:t>
      </w:r>
    </w:p>
    <w:p w:rsidR="00BF237B" w:rsidRPr="00A72E91" w:rsidRDefault="00BF237B" w:rsidP="00BF237B">
      <w:pPr>
        <w:pStyle w:val="SingleTxt"/>
        <w:ind w:left="0"/>
      </w:pPr>
      <w:r w:rsidRPr="00A72E91">
        <w:t>Эти процессы и механизмы последующей деятельности и обзора должны носить регулярный характер, отличаться четкостью структуры и обладать достаточными ресурсами, включая специальные усиленные секретариат и бюро, и предусматривать достаточный объем времени, мощностей и финансов для полноценного мониторинга и обзора прогресса и вызовов.</w:t>
      </w:r>
    </w:p>
    <w:p w:rsidR="00BF237B" w:rsidRPr="00A72E91" w:rsidRDefault="00BF237B" w:rsidP="00BF237B">
      <w:pPr>
        <w:pStyle w:val="SingleTxt"/>
        <w:ind w:left="0"/>
      </w:pPr>
      <w:r w:rsidRPr="00A72E91">
        <w:t>Рамочная программа подотчетности на период после 2015</w:t>
      </w:r>
      <w:r>
        <w:t> год</w:t>
      </w:r>
      <w:r w:rsidRPr="00A72E91">
        <w:t xml:space="preserve">а должна использовать существующие механизмы и институты, играющие существенную роль в мониторинге </w:t>
      </w:r>
      <w:r w:rsidRPr="00A72E91">
        <w:lastRenderedPageBreak/>
        <w:t xml:space="preserve">развития, охраны окружающей среды и защиты прав человека, а также опираться на их опыт и способствовать их укреплению. К ним могут относиться как национальные советы по устойчивому развитию, парламенты, независимые национальные институты по правам человека, коалиции гражданского общества, так и учреждения Организации Объединенных Наций и межучрежденческие комитеты, международные органы по мониторингу прав человека и другие (многосторонние) платформы, такие как </w:t>
      </w:r>
      <w:r w:rsidRPr="00A72E91">
        <w:rPr>
          <w:bCs/>
        </w:rPr>
        <w:t>Глобальное партнерство по эффективному сотрудничеству в целях развития.</w:t>
      </w:r>
    </w:p>
    <w:p w:rsidR="00BF237B" w:rsidRPr="00A72E91" w:rsidRDefault="00BF237B" w:rsidP="00BF237B">
      <w:pPr>
        <w:pStyle w:val="SingleTxt"/>
        <w:ind w:left="0"/>
      </w:pPr>
      <w:r w:rsidRPr="00A72E91">
        <w:t>Тесная взаимосвязь между повесткой дня в области развития на период после 2015</w:t>
      </w:r>
      <w:r>
        <w:t> год</w:t>
      </w:r>
      <w:r w:rsidRPr="00A72E91">
        <w:t>а и итогами Конференции по финансированию развития в Аддис-Абебе является источником значительного потенциала для укрепления механизмов мониторинга и подотчетности в области устойчивого развития, в особенности в отношении средств осуществления. В связи с этим и в целях недопущения дублирования функций и изолированного подхода необходимо обеспечить четкое согласование между механизмами и процессами подотчетности повестки дня в области развития на период после 2015</w:t>
      </w:r>
      <w:r>
        <w:t> год</w:t>
      </w:r>
      <w:r w:rsidRPr="00A72E91">
        <w:t>а и деятельности по финансированию развития.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r>
        <w:tab/>
      </w:r>
      <w:r w:rsidRPr="00A72E91">
        <w:t>Участие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SingleTxt"/>
        <w:ind w:left="0"/>
      </w:pPr>
      <w:r w:rsidRPr="00A72E91">
        <w:t>В процессе разработки ЦУР приняло участие беспрецедентно высокое число физических лиц, организаций гражданского общества и других заинтересованных сторон в области устойчивого развития. Консультации, подобные тем, которые проводились в рамках платформы «Мир, которого мы хотим», позволили гражданскому обществу заявить о своих взглядах в отношении повестки дня в области устойчивого развития на период после 2015</w:t>
      </w:r>
      <w:r>
        <w:t> год</w:t>
      </w:r>
      <w:r w:rsidRPr="00A72E91">
        <w:t>а. Расширению участия в составлении повестки дня в области устойчивого развития на период после 2015</w:t>
      </w:r>
      <w:r>
        <w:t> год</w:t>
      </w:r>
      <w:r w:rsidRPr="00A72E91">
        <w:t>а на настоящий момент значительно способствовали хорошо согласованные ответные меры со стороны гражданского общества, такие как кампания «На период после 2015</w:t>
      </w:r>
      <w:r>
        <w:t> год</w:t>
      </w:r>
      <w:r w:rsidRPr="00A72E91">
        <w:t xml:space="preserve">а», основные группы и Сеть по обеспечению транспарентности, подотчетности и участия. </w:t>
      </w:r>
    </w:p>
    <w:p w:rsidR="00BF237B" w:rsidRPr="00A72E91" w:rsidRDefault="00BF237B" w:rsidP="00BF237B">
      <w:pPr>
        <w:pStyle w:val="SingleTxt"/>
        <w:ind w:left="0"/>
      </w:pPr>
      <w:r w:rsidRPr="00A72E91">
        <w:t>Участие общественности также должно стать одной из приоритетных задач в рамках процессов обзоров и обеспечения подотчетности на период после 2015</w:t>
      </w:r>
      <w:r>
        <w:t> год</w:t>
      </w:r>
      <w:r w:rsidRPr="00A72E91">
        <w:t>а. Для обеспечения действительно революционной повестки дня этот процесс должен носить инклюзивный характер и предусматривать регулярное и полноценное участие на всех уровнях, включая самые обездоленные и маргинализированные группы населения. Необходимо также предусмотреть прямой канал взаимодействия, при помощи которого люди смогут заявлять о своих мнениях на самом высоком уровне принятия решений. Участие само по себе является основной целью развития, что отражено в том числе в задачах ЦУР 5.5 и 16.7 в целях обеспечения жизненно важной способности всех мужчин, женщин и детей защищать свои права.</w:t>
      </w:r>
    </w:p>
    <w:p w:rsidR="00BF237B" w:rsidRPr="00A72E91" w:rsidRDefault="00BF237B" w:rsidP="00BF237B">
      <w:pPr>
        <w:pStyle w:val="SingleTxt"/>
        <w:ind w:left="0"/>
      </w:pPr>
      <w:r w:rsidRPr="00A72E91">
        <w:t>Гражданское общество может содействовать участию общественности и помочь наиболее маргинализированным группам добиться того, чтобы их голоса были услышаны. Однако без прав на свободу выражения мнений и мирных собраний и на доступ к информации, гарантированный законом и общей практикой, гражданское общество не сможет сыграть свою роль. Обязательства, заявленные в рамках ЦУР и особенно цели 16, центральными элементами которой являются транспарентные, коллегиальные и подотчетные органы управления и институты, важны не только для устойчивого осуществления целей и задач в период после 2015</w:t>
      </w:r>
      <w:r>
        <w:t> год</w:t>
      </w:r>
      <w:r w:rsidRPr="00A72E91">
        <w:t xml:space="preserve">а, но также являются основой рамочной системы подотчетности, которая обеспечивает полноценные возможности для участия всех граждан, независимо от их пола, возраста и принадлежности к той или иной социальной группе. </w:t>
      </w:r>
    </w:p>
    <w:p w:rsidR="00BF237B" w:rsidRPr="00A72E91" w:rsidRDefault="00BF237B" w:rsidP="00BF237B">
      <w:pPr>
        <w:pStyle w:val="SingleTxt"/>
        <w:ind w:left="0"/>
      </w:pPr>
      <w:r w:rsidRPr="00A72E91">
        <w:t>Помимо того, что участие граждан всех возрастов в рамочной системе подотчетности на период после 2015</w:t>
      </w:r>
      <w:r>
        <w:t> год</w:t>
      </w:r>
      <w:r w:rsidRPr="00A72E91">
        <w:t xml:space="preserve">а (включая представителей наиболее маргиналированных и уязвимых групп населения) само по себе является правом, признаваемым на глобальном </w:t>
      </w:r>
      <w:r w:rsidRPr="00A72E91">
        <w:lastRenderedPageBreak/>
        <w:t>уровне, оно также может помочь государствам в разработке соответствующих мер и более эффективном распределении ресурсов. Оно обладает потенциалом для усиления вовлеченности гражданского общества и понимания людьми процессов развития и демократических процессов, а также для укрепления взаимоотношений и доверия между государством и его гражданами. Помимо этого, оно способно повысить уровень сопричастности ЦУР среди гражданского общества и общественности.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r w:rsidRPr="00A72E91">
        <w:tab/>
        <w:t>Рекомендации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SingleTxt"/>
        <w:ind w:left="0"/>
      </w:pPr>
      <w:r w:rsidRPr="00A72E91">
        <w:t>Другие рамочные системы обзора Организации Объединенных Наций, включая УПО</w:t>
      </w:r>
      <w:r w:rsidRPr="00A72E91">
        <w:rPr>
          <w:vertAlign w:val="superscript"/>
        </w:rPr>
        <w:footnoteReference w:id="4"/>
      </w:r>
      <w:r w:rsidRPr="00A72E91">
        <w:t>, предлагают ряд рекомендаций относительно того, каким образом точки зрения и рекомендации отдельных граждан, общин, организаций гражданского общества и других негосударственных субъектов могут быть учтены в механизмах подотчетности в рамках повестки дня в области развития на период после 2015</w:t>
      </w:r>
      <w:r>
        <w:t> год</w:t>
      </w:r>
      <w:r w:rsidRPr="00A72E91">
        <w:t>а. С учетом опыта данных рамочных систем обзора на национальном, региональном и международном уровнях можно заключить, что участие в обзоре повестки дня в области развития на период после 2015</w:t>
      </w:r>
      <w:r>
        <w:t> год</w:t>
      </w:r>
      <w:r w:rsidRPr="00A72E91">
        <w:t>а должно отличаться следующими характеристиками:</w:t>
      </w:r>
    </w:p>
    <w:p w:rsidR="00BF237B" w:rsidRPr="00A72E91" w:rsidRDefault="00BF237B" w:rsidP="00BF237B">
      <w:pPr>
        <w:pStyle w:val="SingleTxt"/>
        <w:numPr>
          <w:ilvl w:val="0"/>
          <w:numId w:val="4"/>
        </w:numPr>
        <w:ind w:left="1260" w:firstLine="468"/>
      </w:pPr>
      <w:r w:rsidRPr="00A72E91">
        <w:t>личное участие: участие граждан должно быть институционально закреплено на всех уровнях.</w:t>
      </w:r>
    </w:p>
    <w:p w:rsidR="00BF237B" w:rsidRPr="00A72E91" w:rsidRDefault="00BF237B" w:rsidP="00BF237B">
      <w:pPr>
        <w:pStyle w:val="SingleTxt"/>
        <w:numPr>
          <w:ilvl w:val="1"/>
          <w:numId w:val="4"/>
        </w:numPr>
        <w:ind w:left="1755" w:firstLine="243"/>
      </w:pPr>
      <w:r w:rsidRPr="00A72E91">
        <w:t>национальный: регулярное проведение личных национальных консультаций между гражданским обществом, частным сектором, международными и межправительственными организациями и национальными парламентами позволит людям осуществлять адресную обратную связь и обмениваться опытом в целях ускоренного осуществления повестки дня в области развития на период после 2015</w:t>
      </w:r>
      <w:r>
        <w:t> год</w:t>
      </w:r>
      <w:r w:rsidRPr="00A72E91">
        <w:t>а. По итогам консультаций гражданским обществом будут выработаны конкретные рекомендации для национальных правительств; эти доклады гражданского общества также станут частью глобальных обзоров.</w:t>
      </w:r>
    </w:p>
    <w:p w:rsidR="00BF237B" w:rsidRPr="00A72E91" w:rsidRDefault="00BF237B" w:rsidP="00BF237B">
      <w:pPr>
        <w:pStyle w:val="SingleTxt"/>
        <w:numPr>
          <w:ilvl w:val="1"/>
          <w:numId w:val="4"/>
        </w:numPr>
        <w:ind w:left="1755" w:firstLine="243"/>
      </w:pPr>
      <w:r w:rsidRPr="00A72E91">
        <w:t>региональный: национальные механизмы подотчетности могут быть дополнены региональными диалогами и мониторингом, которые должны проводиться при согласовании с региональными комиссиями Организации Объединенных Наций и с учетом их опыта. Участие гражданского общества на этом уровне может быть особенно важным для содействия обмену знаниями, изучению и выявлению передового опыта, выработке решений и взаимной поддержке.</w:t>
      </w:r>
    </w:p>
    <w:p w:rsidR="00BF237B" w:rsidRPr="00A72E91" w:rsidRDefault="00BF237B" w:rsidP="00BF237B">
      <w:pPr>
        <w:pStyle w:val="SingleTxt"/>
        <w:numPr>
          <w:ilvl w:val="1"/>
          <w:numId w:val="4"/>
        </w:numPr>
        <w:ind w:left="1755" w:firstLine="243"/>
      </w:pPr>
      <w:r w:rsidRPr="00A72E91">
        <w:t xml:space="preserve">глобальный: в целях полной реализации положений резолюции Генеральной Ассамблеи о создании политического форума высокого уровня в рамках ежегодных заседаний форума организациям гражданского общества (как тем, кто имеет консультативный статус при Экономическом и Социальном Совете, так и тем, кто таким статусом не обладает) должно предоставляться время для выступлений и участия в интерактивном диалоге, включая обзор прогресса каждого отдельного государства. Необходимо создать целевой фонд для оплаты расходов, связанных с поездками представителей организаций гражданского общества на мероприятия форума. В резолюциях, касающихся реализации политического форума высокого уровня в будущем, должны быть четко сформулированы и закреплены аспекты полноценного участия гражданского общества на всех уровнях (включая глобальный, </w:t>
      </w:r>
      <w:r w:rsidRPr="00A72E91">
        <w:lastRenderedPageBreak/>
        <w:t xml:space="preserve">региональный и национальный) в процессах последующей деятельности и обзора. </w:t>
      </w:r>
    </w:p>
    <w:p w:rsidR="00BF237B" w:rsidRPr="00672D6B" w:rsidRDefault="00BF237B" w:rsidP="00BF237B">
      <w:pPr>
        <w:pStyle w:val="SingleTxt"/>
        <w:numPr>
          <w:ilvl w:val="0"/>
          <w:numId w:val="4"/>
        </w:numPr>
        <w:ind w:left="1260" w:firstLine="468"/>
      </w:pPr>
      <w:r w:rsidRPr="00A72E91">
        <w:t xml:space="preserve">участие в удаленном режиме: национальные консультации и заседания политического форума высокого уровня должны транслироваться в режиме веб-вещания, а все доклады должны быть доступны для общественности в удобных форматах в целях повышения уровня транспарентности и участия гражданского общества. </w:t>
      </w:r>
      <w:r w:rsidRPr="00672D6B">
        <w:t>Гражданское общество должно иметь возможность представлять письменные заявления и рекомендации и выступать в удаленном режиме при помощи веб-вещания или иных онлайн-платформ. Консультации призваны обеспечить максимальный уровень интерактивности между очными и заочными участниками.</w:t>
      </w:r>
    </w:p>
    <w:p w:rsidR="00BF237B" w:rsidRPr="00672D6B" w:rsidRDefault="00BF237B" w:rsidP="00BF237B">
      <w:pPr>
        <w:pStyle w:val="SingleTxt"/>
        <w:numPr>
          <w:ilvl w:val="0"/>
          <w:numId w:val="4"/>
        </w:numPr>
        <w:ind w:left="1260" w:firstLine="468"/>
      </w:pPr>
      <w:r w:rsidRPr="00672D6B">
        <w:t xml:space="preserve">доклады: необходимо руководствоваться опытом участия гражданского общества в процессе УПО (в рамках этой модели Организация Объединенных Наций собирает письменные заявления НПО и других негосударственных субъектов для последующего краткого изложения в официальном «Сборнике данных, полученных от заинтересованных сторон», который подлежит изучению в рамках обзора ситуации в области прав человека того или иного государства); схожие процессы сбора независимых докладов заинтересованных сторон должны стать ключевым элементом мониторинга и обзора в период после 2015 года.  </w:t>
      </w:r>
    </w:p>
    <w:p w:rsidR="00BF237B" w:rsidRPr="00BF237B" w:rsidRDefault="00BF237B" w:rsidP="00BF237B">
      <w:pPr>
        <w:pStyle w:val="SingleTxt"/>
        <w:numPr>
          <w:ilvl w:val="0"/>
          <w:numId w:val="4"/>
        </w:numPr>
        <w:ind w:left="1260" w:firstLine="468"/>
      </w:pPr>
      <w:r w:rsidRPr="00672D6B">
        <w:t>наращивание мощностей для сбора данных и мониторинга: развитие технологий позволило значительно увеличить объем и виды доступной информации. Тем не менее многие граждане и в первую очередь наиболее маргинализированные группы не располагают ресурсами, знаниями и возможностями, необходимыми для использования этих данных. Следует обеспечить финансовую поддержку и ресурсы д</w:t>
      </w:r>
      <w:r w:rsidRPr="00A72E91">
        <w:t>ля наращивания потенциала гражданского общества и сотрудников местных органов власти, включая общины и отдельных женщин, мужчин и детей, по сбору, получению доступа и использованию данных, необходимых для принятия решений. Это расширит возможности гражданского общества по представлению конкретных рекомендаций для докладов и консультаций в период после 2015</w:t>
      </w:r>
      <w:r>
        <w:t> год</w:t>
      </w:r>
      <w:r w:rsidRPr="00A72E91">
        <w:t xml:space="preserve">а и мониторингу прогресса. </w:t>
      </w:r>
    </w:p>
    <w:p w:rsidR="00BF237B" w:rsidRPr="00A72E91" w:rsidRDefault="00BF237B" w:rsidP="00BF23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r>
        <w:tab/>
      </w:r>
      <w:r w:rsidRPr="00A72E91">
        <w:t>Транспарентность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SingleTxt"/>
        <w:ind w:left="0"/>
      </w:pPr>
      <w:r w:rsidRPr="00A72E91">
        <w:t>При отсутствии полной транспарентности и сопоставимости данных и информации участие граждан не принесет желаемого результата. Одним из условий полноценного участия является доступ граждан к своевременно предоставленным и совместно используемым данным и информации в подробной разбивке, которые понятны и доступны для всех. Транспарентность позволяет обеспечить более высокий уровень координации и информацию в режиме реального времени для поддержки принятия стратегических решений и максимально эффективного использования механизмов и ресурсов для получения необходимых результатов в области развития. Транспарентные, доступные и сопоставимые данные имеют огромное значение для полноценного участия заинтересованных лиц, включая правительства всех уровней, гражданское общество, общины и отдельных граждан, в разработке, осуществлении и мониторинге ЦУР, задач и показателей.</w:t>
      </w:r>
    </w:p>
    <w:p w:rsidR="00BF237B" w:rsidRPr="00A72E91" w:rsidRDefault="00BF237B" w:rsidP="00BF23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r w:rsidRPr="00A72E91">
        <w:br w:type="page"/>
      </w:r>
      <w:r w:rsidRPr="00A72E91">
        <w:lastRenderedPageBreak/>
        <w:tab/>
        <w:t>Рекомендации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SingleTxt"/>
        <w:ind w:left="0"/>
      </w:pPr>
      <w:r w:rsidRPr="00A72E91">
        <w:t xml:space="preserve">Условия, мандаты и функции, касающиеся мониторинга, последующей деятельности и обзора, должны отличаться четкостью и транспарентностью. Правительства на всех уровнях должны своевременно предоставлять точную, исчерпывающую, понятую и доступную информацию. </w:t>
      </w:r>
    </w:p>
    <w:p w:rsidR="00BF237B" w:rsidRPr="00A72E91" w:rsidRDefault="00BF237B" w:rsidP="00BF237B">
      <w:pPr>
        <w:pStyle w:val="SingleTxt"/>
        <w:ind w:left="0"/>
      </w:pPr>
      <w:r w:rsidRPr="00A72E91">
        <w:t>В соответствии с международными нормами в области прав человека, касающимися доступа к информации, все данные о вопросах, представляющих общественный интерес, и/или финансируемые за счет средств государственного бюджета, включая данные, подготовленные частным сектором, должны находиться в общественном доступе и «по умолчанию носить открытый характер». Это означает, что государственные сведения и документы, а также результаты исследований, финансируемых из средств бюджета, должны своевременно публиковаться в машиночитаемом формате и быть доступными для всех желающих на безвозмездной основе и без каких-либо ограничений в отношении их однократного или многократного использования.</w:t>
      </w:r>
    </w:p>
    <w:p w:rsidR="00BF237B" w:rsidRPr="00A72E91" w:rsidRDefault="00BF237B" w:rsidP="00BF237B">
      <w:pPr>
        <w:pStyle w:val="SingleTxt"/>
        <w:ind w:left="0"/>
      </w:pPr>
      <w:r w:rsidRPr="00A72E91">
        <w:rPr>
          <w:bCs/>
        </w:rPr>
        <w:t>Необходимо укреплять существующие глобальные открытые стандарты распространения данных для обмена информацией, такие как, например,</w:t>
      </w:r>
      <w:r w:rsidRPr="00A72E91">
        <w:t xml:space="preserve"> </w:t>
      </w:r>
      <w:r w:rsidRPr="00A72E91">
        <w:rPr>
          <w:bCs/>
        </w:rPr>
        <w:t>Международная инициатива в отношении транспарентности помощи</w:t>
      </w:r>
      <w:r w:rsidRPr="00A72E91">
        <w:t>.</w:t>
      </w:r>
    </w:p>
    <w:p w:rsidR="00BF237B" w:rsidRPr="00A72E91" w:rsidRDefault="00BF237B" w:rsidP="00BF237B">
      <w:pPr>
        <w:pStyle w:val="SingleTxt"/>
        <w:ind w:left="0"/>
      </w:pPr>
      <w:r w:rsidRPr="00A72E91">
        <w:t>Политический форум высокого уровня должен способствовать распространению актуальной информации, собранной различными национальными правительствами и в ходе обзоров различных уровней в период после 2015</w:t>
      </w:r>
      <w:r>
        <w:t> год</w:t>
      </w:r>
      <w:r w:rsidRPr="00A72E91">
        <w:t xml:space="preserve">а, и помогать гражданскому обществу вносить свой вклад и выявлять сферы, где отсутствие данных и информации является фактором, препятствующим осуществлению. 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0" w:hanging="1267"/>
      </w:pPr>
      <w:r w:rsidRPr="00A72E91">
        <w:t xml:space="preserve">Выводы </w:t>
      </w:r>
    </w:p>
    <w:p w:rsidR="00BF237B" w:rsidRPr="00A72E91" w:rsidRDefault="00BF237B" w:rsidP="00BF237B">
      <w:pPr>
        <w:pStyle w:val="SingleTxt"/>
        <w:spacing w:after="0" w:line="120" w:lineRule="exact"/>
        <w:rPr>
          <w:b/>
          <w:iCs/>
          <w:sz w:val="10"/>
        </w:rPr>
      </w:pPr>
    </w:p>
    <w:p w:rsidR="00BF237B" w:rsidRPr="00A72E91" w:rsidRDefault="00BF237B" w:rsidP="00BF237B">
      <w:pPr>
        <w:pStyle w:val="SingleTxt"/>
        <w:ind w:left="0"/>
      </w:pPr>
      <w:r w:rsidRPr="00A72E91">
        <w:t xml:space="preserve">В настоящем документе приводятся аргументы в пользу того, что участие и транспарентность являются ключевыми принципами создания надежных, эффективных и инклюзивных механизмов подотчетности для </w:t>
      </w:r>
      <w:r w:rsidRPr="00A72E91">
        <w:rPr>
          <w:bCs/>
        </w:rPr>
        <w:t>рамочной программы развития на период после 2015</w:t>
      </w:r>
      <w:r>
        <w:rPr>
          <w:bCs/>
        </w:rPr>
        <w:t> год</w:t>
      </w:r>
      <w:r w:rsidRPr="00A72E91">
        <w:rPr>
          <w:bCs/>
        </w:rPr>
        <w:t>а на всех уровнях — от местного до глобального. Если мы хотим добиться полноценного участия и транспарентности, то механизмы «последующей деятельности и обзора» в период после 2015</w:t>
      </w:r>
      <w:r>
        <w:rPr>
          <w:bCs/>
        </w:rPr>
        <w:t> год</w:t>
      </w:r>
      <w:r w:rsidRPr="00A72E91">
        <w:rPr>
          <w:bCs/>
        </w:rPr>
        <w:t>а должны обеспечивать действительно полную подотчетность за осуществление ЦУР.</w:t>
      </w:r>
    </w:p>
    <w:p w:rsidR="00BF237B" w:rsidRPr="00A72E91" w:rsidRDefault="00BF237B" w:rsidP="00BF237B">
      <w:pPr>
        <w:pStyle w:val="SingleTxt"/>
        <w:ind w:left="0"/>
      </w:pPr>
      <w:r w:rsidRPr="00A72E91">
        <w:t>Действительно, тщательные процессы обзора и обеспечения подотчетности чрезвычайно важны для реализации трансформационного потенциала повестки дня в области развития на период после 2015</w:t>
      </w:r>
      <w:r>
        <w:t> год</w:t>
      </w:r>
      <w:r w:rsidRPr="00A72E91">
        <w:t xml:space="preserve">а, подтверждения надежности обязательств и повышения уровня сопричастности стран и общин поставленным целям и задачам. </w:t>
      </w:r>
    </w:p>
    <w:p w:rsidR="00BF237B" w:rsidRPr="00A72E91" w:rsidRDefault="00BF237B" w:rsidP="00BF237B">
      <w:pPr>
        <w:pStyle w:val="SingleTxt"/>
        <w:ind w:left="0"/>
      </w:pPr>
      <w:bookmarkStart w:id="1" w:name="h.3znysh7"/>
      <w:bookmarkEnd w:id="1"/>
      <w:r w:rsidRPr="00A72E91">
        <w:t>Сеть по обеспечению транспарентности, подотчетности и участия готова помочь государствам-членам в приведении этой системы в соответствие с поставленными задачами, чтобы добиться полной подотчетности в отношении смелой повестки дня в области развития на период после 2015</w:t>
      </w:r>
      <w:r>
        <w:t> год</w:t>
      </w:r>
      <w:r w:rsidRPr="00A72E91">
        <w:t xml:space="preserve">а. </w:t>
      </w:r>
    </w:p>
    <w:p w:rsidR="00715E9B" w:rsidRDefault="00715E9B"/>
    <w:sectPr w:rsidR="00715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37B" w:rsidRDefault="00BF237B" w:rsidP="00BF237B">
      <w:pPr>
        <w:spacing w:after="0" w:line="240" w:lineRule="auto"/>
      </w:pPr>
      <w:r>
        <w:separator/>
      </w:r>
    </w:p>
  </w:endnote>
  <w:endnote w:type="continuationSeparator" w:id="0">
    <w:p w:rsidR="00BF237B" w:rsidRDefault="00BF237B" w:rsidP="00BF2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37B" w:rsidRDefault="00BF237B" w:rsidP="00BF237B">
      <w:pPr>
        <w:spacing w:after="0" w:line="240" w:lineRule="auto"/>
      </w:pPr>
      <w:r>
        <w:separator/>
      </w:r>
    </w:p>
  </w:footnote>
  <w:footnote w:type="continuationSeparator" w:id="0">
    <w:p w:rsidR="00BF237B" w:rsidRDefault="00BF237B" w:rsidP="00BF237B">
      <w:pPr>
        <w:spacing w:after="0" w:line="240" w:lineRule="auto"/>
      </w:pPr>
      <w:r>
        <w:continuationSeparator/>
      </w:r>
    </w:p>
  </w:footnote>
  <w:footnote w:id="1">
    <w:p w:rsidR="00BF237B" w:rsidRPr="007B1871" w:rsidRDefault="00BF237B" w:rsidP="00BF237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4167ED">
        <w:rPr>
          <w:rStyle w:val="FootnoteReference"/>
        </w:rPr>
        <w:footnoteRef/>
      </w:r>
      <w:r>
        <w:rPr>
          <w:lang w:val="en-US"/>
        </w:rPr>
        <w:tab/>
      </w:r>
      <w:r w:rsidRPr="007B1871">
        <w:rPr>
          <w:lang w:val="en-US"/>
        </w:rPr>
        <w:t xml:space="preserve">UN OHCHR and the Centre for Economic and Social Rights (2013), Who Will Be Accountable? </w:t>
      </w:r>
      <w:r w:rsidRPr="007B1871">
        <w:t>Human Rights and the post-2015 Development Agenda; а также пресс-релиз Генерального секретаря Организации Объединенных Наций (2010) SG/SM/12789-GA/10923-DEV/2791).</w:t>
      </w:r>
    </w:p>
  </w:footnote>
  <w:footnote w:id="2">
    <w:p w:rsidR="00BF237B" w:rsidRPr="00E95832" w:rsidRDefault="00BF237B" w:rsidP="00BF237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en-US"/>
        </w:rPr>
      </w:pPr>
      <w:r w:rsidRPr="004167ED">
        <w:rPr>
          <w:rStyle w:val="FootnoteReference"/>
        </w:rPr>
        <w:footnoteRef/>
      </w:r>
      <w:r>
        <w:rPr>
          <w:lang w:val="en-US"/>
        </w:rPr>
        <w:tab/>
      </w:r>
      <w:hyperlink r:id="rId1" w:history="1">
        <w:r w:rsidRPr="00E95832">
          <w:rPr>
            <w:lang w:val="en-US"/>
          </w:rPr>
          <w:t>http://www.cesr.org/downloads/who_will_be_accountable.pdf</w:t>
        </w:r>
      </w:hyperlink>
      <w:r w:rsidRPr="00E95832">
        <w:rPr>
          <w:lang w:val="en-US"/>
        </w:rPr>
        <w:t>.</w:t>
      </w:r>
    </w:p>
  </w:footnote>
  <w:footnote w:id="3">
    <w:p w:rsidR="00BF237B" w:rsidRPr="007B1871" w:rsidRDefault="00BF237B" w:rsidP="00BF237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4167ED">
        <w:rPr>
          <w:rStyle w:val="FootnoteReference"/>
        </w:rPr>
        <w:footnoteRef/>
      </w:r>
      <w:r w:rsidRPr="00E95832">
        <w:tab/>
      </w:r>
      <w:r w:rsidRPr="007B1871">
        <w:t>См. полную информационную справку о показателях Сети по обеспечению транспарентности, подотчетности и участия в режиме онлайн http://tapnetwork2015.org/.</w:t>
      </w:r>
    </w:p>
  </w:footnote>
  <w:footnote w:id="4">
    <w:p w:rsidR="00BF237B" w:rsidRPr="00A62A26" w:rsidRDefault="00BF237B" w:rsidP="00BF237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lang w:val="en-US"/>
        </w:rPr>
      </w:pPr>
      <w:r>
        <w:rPr>
          <w:sz w:val="20"/>
          <w:lang w:val="en-US"/>
        </w:rPr>
        <w:tab/>
      </w:r>
      <w:r w:rsidRPr="004167ED">
        <w:rPr>
          <w:rStyle w:val="FootnoteReference"/>
        </w:rPr>
        <w:footnoteRef/>
      </w:r>
      <w:r w:rsidRPr="00A62A26">
        <w:rPr>
          <w:sz w:val="20"/>
        </w:rPr>
        <w:tab/>
      </w:r>
      <w:r w:rsidRPr="00A62A26">
        <w:rPr>
          <w:lang w:val="en-US"/>
        </w:rPr>
        <w:t>www.ohchr.org/EN/HRBodies/UPR/Pages/UPRMain.aspx.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86418"/>
    <w:multiLevelType w:val="hybridMultilevel"/>
    <w:tmpl w:val="7A6E6AA6"/>
    <w:lvl w:ilvl="0" w:tplc="6E44A2EC">
      <w:start w:val="1"/>
      <w:numFmt w:val="lowerLetter"/>
      <w:lvlText w:val="%1)"/>
      <w:lvlJc w:val="left"/>
      <w:pPr>
        <w:ind w:left="-108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-1260" w:hanging="360"/>
      </w:pPr>
    </w:lvl>
    <w:lvl w:ilvl="2" w:tplc="0809001B">
      <w:start w:val="1"/>
      <w:numFmt w:val="lowerRoman"/>
      <w:lvlText w:val="%3."/>
      <w:lvlJc w:val="right"/>
      <w:pPr>
        <w:ind w:left="-540" w:hanging="180"/>
      </w:pPr>
    </w:lvl>
    <w:lvl w:ilvl="3" w:tplc="0809000F">
      <w:start w:val="1"/>
      <w:numFmt w:val="decimal"/>
      <w:lvlText w:val="%4."/>
      <w:lvlJc w:val="left"/>
      <w:pPr>
        <w:ind w:left="180" w:hanging="360"/>
      </w:pPr>
    </w:lvl>
    <w:lvl w:ilvl="4" w:tplc="08090019">
      <w:start w:val="1"/>
      <w:numFmt w:val="lowerLetter"/>
      <w:lvlText w:val="%5."/>
      <w:lvlJc w:val="left"/>
      <w:pPr>
        <w:ind w:left="900" w:hanging="360"/>
      </w:pPr>
    </w:lvl>
    <w:lvl w:ilvl="5" w:tplc="0809001B">
      <w:start w:val="1"/>
      <w:numFmt w:val="lowerRoman"/>
      <w:lvlText w:val="%6."/>
      <w:lvlJc w:val="right"/>
      <w:pPr>
        <w:ind w:left="1620" w:hanging="180"/>
      </w:pPr>
    </w:lvl>
    <w:lvl w:ilvl="6" w:tplc="0809000F">
      <w:start w:val="1"/>
      <w:numFmt w:val="decimal"/>
      <w:lvlText w:val="%7."/>
      <w:lvlJc w:val="left"/>
      <w:pPr>
        <w:ind w:left="2340" w:hanging="360"/>
      </w:pPr>
    </w:lvl>
    <w:lvl w:ilvl="7" w:tplc="08090019">
      <w:start w:val="1"/>
      <w:numFmt w:val="lowerLetter"/>
      <w:lvlText w:val="%8."/>
      <w:lvlJc w:val="left"/>
      <w:pPr>
        <w:ind w:left="3060" w:hanging="360"/>
      </w:pPr>
    </w:lvl>
    <w:lvl w:ilvl="8" w:tplc="0809001B">
      <w:start w:val="1"/>
      <w:numFmt w:val="lowerRoman"/>
      <w:lvlText w:val="%9."/>
      <w:lvlJc w:val="right"/>
      <w:pPr>
        <w:ind w:left="3780" w:hanging="180"/>
      </w:pPr>
    </w:lvl>
  </w:abstractNum>
  <w:abstractNum w:abstractNumId="1" w15:restartNumberingAfterBreak="0">
    <w:nsid w:val="39232CE6"/>
    <w:multiLevelType w:val="singleLevel"/>
    <w:tmpl w:val="BE2643C6"/>
    <w:lvl w:ilvl="0">
      <w:start w:val="2"/>
      <w:numFmt w:val="lowerLetter"/>
      <w:lvlRestart w:val="0"/>
      <w:lvlText w:val="%1)"/>
      <w:lvlJc w:val="left"/>
      <w:pPr>
        <w:ind w:left="0" w:firstLine="0"/>
      </w:pPr>
    </w:lvl>
  </w:abstractNum>
  <w:abstractNum w:abstractNumId="2" w15:restartNumberingAfterBreak="0">
    <w:nsid w:val="4794431B"/>
    <w:multiLevelType w:val="singleLevel"/>
    <w:tmpl w:val="62F833F4"/>
    <w:lvl w:ilvl="0">
      <w:start w:val="150"/>
      <w:numFmt w:val="decimal"/>
      <w:lvlRestart w:val="0"/>
      <w:lvlText w:val="%1."/>
      <w:lvlJc w:val="left"/>
      <w:pPr>
        <w:ind w:left="0" w:firstLine="0"/>
      </w:pPr>
    </w:lvl>
  </w:abstractNum>
  <w:abstractNum w:abstractNumId="3" w15:restartNumberingAfterBreak="0">
    <w:nsid w:val="68A378E4"/>
    <w:multiLevelType w:val="singleLevel"/>
    <w:tmpl w:val="20DE36A6"/>
    <w:lvl w:ilvl="0">
      <w:start w:val="73"/>
      <w:numFmt w:val="decimal"/>
      <w:lvlRestart w:val="0"/>
      <w:lvlText w:val="%1."/>
      <w:lvlJc w:val="left"/>
      <w:pPr>
        <w:ind w:left="0" w:firstLine="0"/>
      </w:pPr>
    </w:lvl>
  </w:abstractNum>
  <w:abstractNum w:abstractNumId="4" w15:restartNumberingAfterBreak="0">
    <w:nsid w:val="69F17F6C"/>
    <w:multiLevelType w:val="hybridMultilevel"/>
    <w:tmpl w:val="116E2486"/>
    <w:lvl w:ilvl="0" w:tplc="04090017">
      <w:start w:val="1"/>
      <w:numFmt w:val="lowerLetter"/>
      <w:lvlText w:val="%1)"/>
      <w:lvlJc w:val="left"/>
      <w:pPr>
        <w:ind w:left="1620" w:hanging="360"/>
      </w:pPr>
      <w:rPr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B57FC"/>
    <w:multiLevelType w:val="singleLevel"/>
    <w:tmpl w:val="49E432EC"/>
    <w:lvl w:ilvl="0">
      <w:start w:val="148"/>
      <w:numFmt w:val="decimal"/>
      <w:lvlRestart w:val="0"/>
      <w:lvlText w:val="%1."/>
      <w:lvlJc w:val="left"/>
      <w:pPr>
        <w:ind w:left="0" w:firstLine="0"/>
      </w:pPr>
    </w:lvl>
  </w:abstractNum>
  <w:abstractNum w:abstractNumId="6" w15:restartNumberingAfterBreak="0">
    <w:nsid w:val="78B87DC3"/>
    <w:multiLevelType w:val="hybridMultilevel"/>
    <w:tmpl w:val="2152B782"/>
    <w:lvl w:ilvl="0" w:tplc="DC8ECD1C">
      <w:start w:val="1"/>
      <w:numFmt w:val="lowerLetter"/>
      <w:lvlText w:val="%1)"/>
      <w:lvlJc w:val="left"/>
      <w:pPr>
        <w:ind w:left="1620" w:hanging="360"/>
      </w:pPr>
      <w:rPr>
        <w:sz w:val="20"/>
        <w:szCs w:val="20"/>
        <w:lang w:val="ru-RU"/>
      </w:rPr>
    </w:lvl>
    <w:lvl w:ilvl="1" w:tplc="D5DE2112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B56F4B"/>
    <w:multiLevelType w:val="hybridMultilevel"/>
    <w:tmpl w:val="CE24F2C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  <w:lvlOverride w:ilvl="0">
      <w:lvl w:ilvl="0">
        <w:start w:val="73"/>
        <w:numFmt w:val="decimal"/>
        <w:lvlRestart w:val="0"/>
        <w:lvlText w:val="%1."/>
        <w:lvlJc w:val="left"/>
        <w:pPr>
          <w:ind w:left="0" w:firstLine="0"/>
        </w:pPr>
      </w:lvl>
    </w:lvlOverride>
  </w:num>
  <w:num w:numId="6">
    <w:abstractNumId w:val="3"/>
    <w:lvlOverride w:ilvl="0">
      <w:lvl w:ilvl="0">
        <w:start w:val="73"/>
        <w:numFmt w:val="decimal"/>
        <w:lvlRestart w:val="0"/>
        <w:lvlText w:val="%1."/>
        <w:lvlJc w:val="left"/>
        <w:pPr>
          <w:ind w:left="0" w:firstLine="0"/>
        </w:pPr>
      </w:lvl>
    </w:lvlOverride>
  </w:num>
  <w:num w:numId="7">
    <w:abstractNumId w:val="3"/>
    <w:lvlOverride w:ilvl="0">
      <w:lvl w:ilvl="0">
        <w:start w:val="73"/>
        <w:numFmt w:val="decimal"/>
        <w:lvlRestart w:val="0"/>
        <w:lvlText w:val="%1."/>
        <w:lvlJc w:val="left"/>
        <w:pPr>
          <w:ind w:left="0" w:firstLine="0"/>
        </w:pPr>
      </w:lvl>
    </w:lvlOverride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7B"/>
    <w:rsid w:val="00715E9B"/>
    <w:rsid w:val="00BF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0C8B9E-7AE7-4A6B-872E-E962718C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_ H_1"/>
    <w:basedOn w:val="Normal"/>
    <w:next w:val="SingleTxt"/>
    <w:qFormat/>
    <w:rsid w:val="00BF237B"/>
    <w:pPr>
      <w:suppressAutoHyphens/>
      <w:spacing w:after="0" w:line="270" w:lineRule="exact"/>
      <w:outlineLvl w:val="0"/>
    </w:pPr>
    <w:rPr>
      <w:rFonts w:ascii="Times New Roman" w:eastAsia="Calibri" w:hAnsi="Times New Roman" w:cs="Times New Roman"/>
      <w:b/>
      <w:spacing w:val="4"/>
      <w:w w:val="103"/>
      <w:kern w:val="14"/>
      <w:sz w:val="24"/>
      <w:lang w:val="ru-RU"/>
    </w:rPr>
  </w:style>
  <w:style w:type="paragraph" w:customStyle="1" w:styleId="H23">
    <w:name w:val="_ H_2/3"/>
    <w:basedOn w:val="H1"/>
    <w:next w:val="SingleTxt"/>
    <w:qFormat/>
    <w:rsid w:val="00BF237B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SingleTxt">
    <w:name w:val="__Single Txt"/>
    <w:basedOn w:val="Normal"/>
    <w:qFormat/>
    <w:rsid w:val="00BF237B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 w:line="240" w:lineRule="exact"/>
      <w:ind w:left="1267" w:right="1267"/>
      <w:jc w:val="both"/>
    </w:pPr>
    <w:rPr>
      <w:rFonts w:ascii="Times New Roman" w:eastAsia="Calibri" w:hAnsi="Times New Roman" w:cs="Times New Roman"/>
      <w:spacing w:val="4"/>
      <w:w w:val="103"/>
      <w:kern w:val="14"/>
      <w:sz w:val="20"/>
      <w:lang w:val="ru-RU"/>
    </w:rPr>
  </w:style>
  <w:style w:type="paragraph" w:styleId="FootnoteText">
    <w:name w:val="footnote text"/>
    <w:basedOn w:val="Normal"/>
    <w:link w:val="FootnoteTextChar"/>
    <w:uiPriority w:val="1"/>
    <w:unhideWhenUsed/>
    <w:rsid w:val="00BF237B"/>
    <w:pPr>
      <w:suppressAutoHyphens/>
      <w:spacing w:after="0" w:line="210" w:lineRule="exact"/>
      <w:ind w:left="475" w:hanging="475"/>
    </w:pPr>
    <w:rPr>
      <w:rFonts w:ascii="Times New Roman" w:eastAsia="Calibri" w:hAnsi="Times New Roman" w:cs="Times New Roman"/>
      <w:spacing w:val="5"/>
      <w:w w:val="104"/>
      <w:kern w:val="14"/>
      <w:sz w:val="17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BF237B"/>
    <w:rPr>
      <w:rFonts w:ascii="Times New Roman" w:eastAsia="Calibri" w:hAnsi="Times New Roman" w:cs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uiPriority w:val="99"/>
    <w:unhideWhenUsed/>
    <w:rsid w:val="00BF237B"/>
    <w:rPr>
      <w:spacing w:val="-5"/>
      <w:w w:val="130"/>
      <w:position w:val="-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sr.org/downloads/who_will_be_accountabl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3643</Words>
  <Characters>20770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Romano</dc:creator>
  <cp:keywords/>
  <dc:description/>
  <cp:lastModifiedBy>John Romano</cp:lastModifiedBy>
  <cp:revision>1</cp:revision>
  <dcterms:created xsi:type="dcterms:W3CDTF">2015-07-01T20:49:00Z</dcterms:created>
  <dcterms:modified xsi:type="dcterms:W3CDTF">2015-07-01T20:59:00Z</dcterms:modified>
</cp:coreProperties>
</file>